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i w:val="false"/>
          <w:iCs w:val="false"/>
        </w:rPr>
        <w:t xml:space="preserve">City of Bradford Metropolitan District Council</w:t>
      </w:r>
    </w:p>
    <w:p>
      <w:pPr>
        <w:spacing w:after="200"/>
      </w:pPr>
      <w:r>
        <w:rPr>
          <w:b w:val="false"/>
          <w:bCs w:val="false"/>
          <w:i w:val="false"/>
          <w:iCs w:val="false"/>
        </w:rPr>
        <w:t xml:space="preserve">Department of Growth | Vision Zero Bradford</w:t>
      </w:r>
    </w:p>
    <w:p>
      <w:pPr>
        <w:pStyle w:val="Heading1"/>
      </w:pPr>
      <w:r>
        <w:t xml:space="preserve">Job Description and Person Specification</w:t>
      </w:r>
    </w:p>
    <w:p>
      <w:pPr>
        <w:spacing w:after="200"/>
      </w:pPr>
      <w:r>
        <w:rPr>
          <w:b/>
          <w:bCs/>
          <w:i w:val="false"/>
          <w:iCs w:val="false"/>
        </w:rPr>
        <w:t xml:space="preserve">Data and Intelligence Officer (Vision Zero), Grade 8</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single" w:color="999999" w:sz="1"/>
              <w:left w:val="single" w:color="999999" w:sz="1"/>
              <w:bottom w:val="single" w:color="999999" w:sz="1"/>
              <w:right w:val="single" w:color="999999" w:sz="1"/>
            </w:tcBorders>
            <w:shd w:fill="F2F2F2" w:val="clear"/>
            <w:tcMar>
              <w:top w:type="dxa" w:w="80"/>
              <w:left w:type="dxa" w:w="120"/>
              <w:bottom w:type="dxa" w:w="80"/>
              <w:right w:type="dxa" w:w="120"/>
            </w:tcMar>
          </w:tcPr>
          <w:p>
            <w:r>
              <w:rPr>
                <w:b/>
                <w:bCs/>
              </w:rPr>
              <w:t xml:space="preserve">Post title</w:t>
            </w:r>
          </w:p>
        </w:tc>
        <w:tc>
          <w:tcPr>
            <w:tcW w:type="dxa" w:w="70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Data and Intelligence Officer (Vision Zero)</w:t>
            </w:r>
          </w:p>
        </w:tc>
      </w:tr>
      <w:tr>
        <w:tc>
          <w:tcPr>
            <w:tcW w:type="dxa" w:w="2600"/>
            <w:tcBorders>
              <w:top w:val="single" w:color="999999" w:sz="1"/>
              <w:left w:val="single" w:color="999999" w:sz="1"/>
              <w:bottom w:val="single" w:color="999999" w:sz="1"/>
              <w:right w:val="single" w:color="999999" w:sz="1"/>
            </w:tcBorders>
            <w:shd w:fill="F2F2F2" w:val="clear"/>
            <w:tcMar>
              <w:top w:type="dxa" w:w="80"/>
              <w:left w:type="dxa" w:w="120"/>
              <w:bottom w:type="dxa" w:w="80"/>
              <w:right w:type="dxa" w:w="120"/>
            </w:tcMar>
          </w:tcPr>
          <w:p>
            <w:r>
              <w:rPr>
                <w:b/>
                <w:bCs/>
              </w:rPr>
              <w:t xml:space="preserve">Grade</w:t>
            </w:r>
          </w:p>
        </w:tc>
        <w:tc>
          <w:tcPr>
            <w:tcW w:type="dxa" w:w="70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Grade 8 [salary £X to £Y per annum, TBC by HR]</w:t>
            </w:r>
          </w:p>
        </w:tc>
      </w:tr>
      <w:tr>
        <w:tc>
          <w:tcPr>
            <w:tcW w:type="dxa" w:w="2600"/>
            <w:tcBorders>
              <w:top w:val="single" w:color="999999" w:sz="1"/>
              <w:left w:val="single" w:color="999999" w:sz="1"/>
              <w:bottom w:val="single" w:color="999999" w:sz="1"/>
              <w:right w:val="single" w:color="999999" w:sz="1"/>
            </w:tcBorders>
            <w:shd w:fill="F2F2F2" w:val="clear"/>
            <w:tcMar>
              <w:top w:type="dxa" w:w="80"/>
              <w:left w:type="dxa" w:w="120"/>
              <w:bottom w:type="dxa" w:w="80"/>
              <w:right w:type="dxa" w:w="120"/>
            </w:tcMar>
          </w:tcPr>
          <w:p>
            <w:r>
              <w:rPr>
                <w:b/>
                <w:bCs/>
              </w:rPr>
              <w:t xml:space="preserve">Department</w:t>
            </w:r>
          </w:p>
        </w:tc>
        <w:tc>
          <w:tcPr>
            <w:tcW w:type="dxa" w:w="70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Department of Growth</w:t>
            </w:r>
          </w:p>
        </w:tc>
      </w:tr>
      <w:tr>
        <w:tc>
          <w:tcPr>
            <w:tcW w:type="dxa" w:w="2600"/>
            <w:tcBorders>
              <w:top w:val="single" w:color="999999" w:sz="1"/>
              <w:left w:val="single" w:color="999999" w:sz="1"/>
              <w:bottom w:val="single" w:color="999999" w:sz="1"/>
              <w:right w:val="single" w:color="999999" w:sz="1"/>
            </w:tcBorders>
            <w:shd w:fill="F2F2F2" w:val="clear"/>
            <w:tcMar>
              <w:top w:type="dxa" w:w="80"/>
              <w:left w:type="dxa" w:w="120"/>
              <w:bottom w:type="dxa" w:w="80"/>
              <w:right w:type="dxa" w:w="120"/>
            </w:tcMar>
          </w:tcPr>
          <w:p>
            <w:r>
              <w:rPr>
                <w:b/>
                <w:bCs/>
              </w:rPr>
              <w:t xml:space="preserve">Team</w:t>
            </w:r>
          </w:p>
        </w:tc>
        <w:tc>
          <w:tcPr>
            <w:tcW w:type="dxa" w:w="70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Vision Zero Bradford</w:t>
            </w:r>
          </w:p>
        </w:tc>
      </w:tr>
      <w:tr>
        <w:tc>
          <w:tcPr>
            <w:tcW w:type="dxa" w:w="2600"/>
            <w:tcBorders>
              <w:top w:val="single" w:color="999999" w:sz="1"/>
              <w:left w:val="single" w:color="999999" w:sz="1"/>
              <w:bottom w:val="single" w:color="999999" w:sz="1"/>
              <w:right w:val="single" w:color="999999" w:sz="1"/>
            </w:tcBorders>
            <w:shd w:fill="F2F2F2" w:val="clear"/>
            <w:tcMar>
              <w:top w:type="dxa" w:w="80"/>
              <w:left w:type="dxa" w:w="120"/>
              <w:bottom w:type="dxa" w:w="80"/>
              <w:right w:type="dxa" w:w="120"/>
            </w:tcMar>
          </w:tcPr>
          <w:p>
            <w:r>
              <w:rPr>
                <w:b/>
                <w:bCs/>
              </w:rPr>
              <w:t xml:space="preserve">Reports to</w:t>
            </w:r>
          </w:p>
        </w:tc>
        <w:tc>
          <w:tcPr>
            <w:tcW w:type="dxa" w:w="70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Vision Zero Lead</w:t>
            </w:r>
          </w:p>
        </w:tc>
      </w:tr>
      <w:tr>
        <w:tc>
          <w:tcPr>
            <w:tcW w:type="dxa" w:w="2600"/>
            <w:tcBorders>
              <w:top w:val="single" w:color="999999" w:sz="1"/>
              <w:left w:val="single" w:color="999999" w:sz="1"/>
              <w:bottom w:val="single" w:color="999999" w:sz="1"/>
              <w:right w:val="single" w:color="999999" w:sz="1"/>
            </w:tcBorders>
            <w:shd w:fill="F2F2F2" w:val="clear"/>
            <w:tcMar>
              <w:top w:type="dxa" w:w="80"/>
              <w:left w:type="dxa" w:w="120"/>
              <w:bottom w:type="dxa" w:w="80"/>
              <w:right w:type="dxa" w:w="120"/>
            </w:tcMar>
          </w:tcPr>
          <w:p>
            <w:r>
              <w:rPr>
                <w:b/>
                <w:bCs/>
              </w:rPr>
              <w:t xml:space="preserve">Responsible for</w:t>
            </w:r>
          </w:p>
        </w:tc>
        <w:tc>
          <w:tcPr>
            <w:tcW w:type="dxa" w:w="70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No line management responsibility</w:t>
            </w:r>
          </w:p>
        </w:tc>
      </w:tr>
      <w:tr>
        <w:tc>
          <w:tcPr>
            <w:tcW w:type="dxa" w:w="2600"/>
            <w:tcBorders>
              <w:top w:val="single" w:color="999999" w:sz="1"/>
              <w:left w:val="single" w:color="999999" w:sz="1"/>
              <w:bottom w:val="single" w:color="999999" w:sz="1"/>
              <w:right w:val="single" w:color="999999" w:sz="1"/>
            </w:tcBorders>
            <w:shd w:fill="F2F2F2" w:val="clear"/>
            <w:tcMar>
              <w:top w:type="dxa" w:w="80"/>
              <w:left w:type="dxa" w:w="120"/>
              <w:bottom w:type="dxa" w:w="80"/>
              <w:right w:type="dxa" w:w="120"/>
            </w:tcMar>
          </w:tcPr>
          <w:p>
            <w:r>
              <w:rPr>
                <w:b/>
                <w:bCs/>
              </w:rPr>
              <w:t xml:space="preserve">Contract</w:t>
            </w:r>
          </w:p>
        </w:tc>
        <w:tc>
          <w:tcPr>
            <w:tcW w:type="dxa" w:w="70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Permanent, full time (37 hours per week)</w:t>
            </w:r>
          </w:p>
        </w:tc>
      </w:tr>
      <w:tr>
        <w:tc>
          <w:tcPr>
            <w:tcW w:type="dxa" w:w="2600"/>
            <w:tcBorders>
              <w:top w:val="single" w:color="999999" w:sz="1"/>
              <w:left w:val="single" w:color="999999" w:sz="1"/>
              <w:bottom w:val="single" w:color="999999" w:sz="1"/>
              <w:right w:val="single" w:color="999999" w:sz="1"/>
            </w:tcBorders>
            <w:shd w:fill="F2F2F2" w:val="clear"/>
            <w:tcMar>
              <w:top w:type="dxa" w:w="80"/>
              <w:left w:type="dxa" w:w="120"/>
              <w:bottom w:type="dxa" w:w="80"/>
              <w:right w:type="dxa" w:w="120"/>
            </w:tcMar>
          </w:tcPr>
          <w:p>
            <w:r>
              <w:rPr>
                <w:b/>
                <w:bCs/>
              </w:rPr>
              <w:t xml:space="preserve">Location</w:t>
            </w:r>
          </w:p>
        </w:tc>
        <w:tc>
          <w:tcPr>
            <w:tcW w:type="dxa" w:w="70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Bradford city centre, with hybrid working in line with Council policy</w:t>
            </w:r>
          </w:p>
        </w:tc>
      </w:tr>
      <w:tr>
        <w:tc>
          <w:tcPr>
            <w:tcW w:type="dxa" w:w="2600"/>
            <w:tcBorders>
              <w:top w:val="single" w:color="999999" w:sz="1"/>
              <w:left w:val="single" w:color="999999" w:sz="1"/>
              <w:bottom w:val="single" w:color="999999" w:sz="1"/>
              <w:right w:val="single" w:color="999999" w:sz="1"/>
            </w:tcBorders>
            <w:shd w:fill="F2F2F2" w:val="clear"/>
            <w:tcMar>
              <w:top w:type="dxa" w:w="80"/>
              <w:left w:type="dxa" w:w="120"/>
              <w:bottom w:type="dxa" w:w="80"/>
              <w:right w:type="dxa" w:w="120"/>
            </w:tcMar>
          </w:tcPr>
          <w:p>
            <w:r>
              <w:rPr>
                <w:b/>
                <w:bCs/>
              </w:rPr>
              <w:t xml:space="preserve">Special conditions</w:t>
            </w:r>
          </w:p>
        </w:tc>
        <w:tc>
          <w:tcPr>
            <w:tcW w:type="dxa" w:w="70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Occasional evening working (committee and community meetings) and travel across the district for site visits. DBS check not required.</w:t>
            </w:r>
          </w:p>
        </w:tc>
      </w:tr>
    </w:tbl>
    <w:p>
      <w:pPr>
        <w:pStyle w:val="Heading2"/>
      </w:pPr>
      <w:r>
        <w:t xml:space="preserve">Purpose of the post</w:t>
      </w:r>
    </w:p>
    <w:p>
      <w:pPr>
        <w:spacing w:after="120"/>
      </w:pPr>
      <w:r>
        <w:rPr>
          <w:b w:val="false"/>
          <w:bCs w:val="false"/>
          <w:i w:val="false"/>
          <w:iCs w:val="false"/>
        </w:rPr>
        <w:t xml:space="preserve">Vision Zero Bradford is the Council's long-term programme, delivered with partners, to eliminate deaths and serious injuries on the district's roads. Evidence sits at the heart of the programme: every scheme, bid and decision is expected to be grounded in robust data.</w:t>
      </w:r>
    </w:p>
    <w:p>
      <w:pPr>
        <w:spacing w:after="120"/>
      </w:pPr>
      <w:r>
        <w:rPr>
          <w:b w:val="false"/>
          <w:bCs w:val="false"/>
          <w:i w:val="false"/>
          <w:iCs w:val="false"/>
        </w:rPr>
        <w:t xml:space="preserve">The Data and Intelligence Officer is the programme's dedicated analytical specialist. The postholder will manage the programme's data repository, operate its road safety data and digital infrastructure, and turn collision, speed, traffic and enforcement data into clear, decision-ready intelligence for officers, elected members and partners. The role reports to the Vision Zero Lead and works across the Department of Growth and with external partners including West Yorkshire Police, the West Yorkshire Combined Authority and the Department for Transport.</w:t>
      </w:r>
    </w:p>
    <w:p>
      <w:pPr>
        <w:pStyle w:val="Heading2"/>
      </w:pPr>
      <w:r>
        <w:t xml:space="preserve">Main duties and responsibilities</w:t>
      </w:r>
    </w:p>
    <w:p>
      <w:pPr>
        <w:pStyle w:val="ListParagraph"/>
        <w:numPr>
          <w:ilvl w:val="0"/>
          <w:numId w:val="2"/>
        </w:numPr>
      </w:pPr>
      <w:r>
        <w:t xml:space="preserve">Act as the programme's principal data resource: manage, maintain and develop the Vision Zero Bradford data repository, including collision and casualty data (STATS19 and KeyACCIDENT), speed and traffic survey data, camera and enforcement data, and supporting reference datasets.</w:t>
      </w:r>
    </w:p>
    <w:p>
      <w:pPr>
        <w:pStyle w:val="ListParagraph"/>
        <w:numPr>
          <w:ilvl w:val="0"/>
          <w:numId w:val="2"/>
        </w:numPr>
      </w:pPr>
      <w:r>
        <w:t xml:space="preserve">Operate and extract full value from the Council's road safety data and digital infrastructure, including the Agilysis Acuity suite (MAST, Speed Compliance Tool Plus, CrashMap Local, RiskMap, Site Selection), KeyACCIDENT and related analytical platforms.</w:t>
      </w:r>
    </w:p>
    <w:p>
      <w:pPr>
        <w:pStyle w:val="ListParagraph"/>
        <w:numPr>
          <w:ilvl w:val="0"/>
          <w:numId w:val="2"/>
        </w:numPr>
      </w:pPr>
      <w:r>
        <w:t xml:space="preserve">Use GIS to carry out spatial analysis and produce high quality mapping at site, corridor, ward, constituency and district level, drawing on Ordnance Survey products and other geographic data available under the Public Sector Geospatial Agreement.</w:t>
      </w:r>
    </w:p>
    <w:p>
      <w:pPr>
        <w:pStyle w:val="ListParagraph"/>
        <w:numPr>
          <w:ilvl w:val="0"/>
          <w:numId w:val="2"/>
        </w:numPr>
      </w:pPr>
      <w:r>
        <w:t xml:space="preserve">Produce rigorous, decision-ready analysis to support the identification, prioritisation, design and evaluation of road safety interventions, including casualty priority sites, speed management and safety camera candidate sites.</w:t>
      </w:r>
    </w:p>
    <w:p>
      <w:pPr>
        <w:pStyle w:val="ListParagraph"/>
        <w:numPr>
          <w:ilvl w:val="0"/>
          <w:numId w:val="2"/>
        </w:numPr>
      </w:pPr>
      <w:r>
        <w:t xml:space="preserve">Prepare evidence packs, data annexes, dashboards and visualisations to support briefing notes, reports to portfolio holders and committees, funding bids and business cases, ensuring analysis is accurate, reproducible and clearly caveated.</w:t>
      </w:r>
    </w:p>
    <w:p>
      <w:pPr>
        <w:pStyle w:val="ListParagraph"/>
        <w:numPr>
          <w:ilvl w:val="0"/>
          <w:numId w:val="2"/>
        </w:numPr>
      </w:pPr>
      <w:r>
        <w:t xml:space="preserve">Undertake before and after evaluation of schemes and interventions, applying appropriate statistical methods (including allowance for regression to mean) and presenting honest findings.</w:t>
      </w:r>
    </w:p>
    <w:p>
      <w:pPr>
        <w:pStyle w:val="ListParagraph"/>
        <w:numPr>
          <w:ilvl w:val="0"/>
          <w:numId w:val="2"/>
        </w:numPr>
      </w:pPr>
      <w:r>
        <w:t xml:space="preserve">Monitor and report programme performance, including Vision Zero indicators, Safe Roads programme metrics and grant funding returns, and maintain the underlying reporting pipelines.</w:t>
      </w:r>
    </w:p>
    <w:p>
      <w:pPr>
        <w:pStyle w:val="ListParagraph"/>
        <w:numPr>
          <w:ilvl w:val="0"/>
          <w:numId w:val="2"/>
        </w:numPr>
      </w:pPr>
      <w:r>
        <w:t xml:space="preserve">Respond to data and intelligence requests from elected members, senior officers, partners, the public and the press office, and provide analytical support for Freedom of Information and Environmental Information Regulations responses.</w:t>
      </w:r>
    </w:p>
    <w:p>
      <w:pPr>
        <w:pStyle w:val="ListParagraph"/>
        <w:numPr>
          <w:ilvl w:val="0"/>
          <w:numId w:val="2"/>
        </w:numPr>
      </w:pPr>
      <w:r>
        <w:t xml:space="preserve">Manage data quality, metadata, the programme data dictionary and version control; support Data Protection Impact Assessments and ensure all handling of personal and sensitive data complies with UK GDPR and Council policy.</w:t>
      </w:r>
    </w:p>
    <w:p>
      <w:pPr>
        <w:pStyle w:val="ListParagraph"/>
        <w:numPr>
          <w:ilvl w:val="0"/>
          <w:numId w:val="2"/>
        </w:numPr>
      </w:pPr>
      <w:r>
        <w:t xml:space="preserve">Build and maintain effective working relationships with data suppliers and partners, including West Yorkshire Police, the West Yorkshire Combined Authority, the West Yorkshire Safety Camera Partnership, National Highways, the Department for Transport and academic partners.</w:t>
      </w:r>
    </w:p>
    <w:p>
      <w:pPr>
        <w:pStyle w:val="ListParagraph"/>
        <w:numPr>
          <w:ilvl w:val="0"/>
          <w:numId w:val="2"/>
        </w:numPr>
      </w:pPr>
      <w:r>
        <w:t xml:space="preserve">Support public consultation and community engagement with clear, accessible presentation of data, including interactive maps and plain English summaries.</w:t>
      </w:r>
    </w:p>
    <w:p>
      <w:pPr>
        <w:pStyle w:val="ListParagraph"/>
        <w:numPr>
          <w:ilvl w:val="0"/>
          <w:numId w:val="2"/>
        </w:numPr>
      </w:pPr>
      <w:r>
        <w:t xml:space="preserve">Undertake such other duties as may reasonably be required, commensurate with the grade and purpose of the post.</w:t>
      </w:r>
    </w:p>
    <w:p>
      <w:pPr>
        <w:pStyle w:val="Heading2"/>
      </w:pPr>
      <w:r>
        <w:t xml:space="preserve">Values and behaviours</w:t>
      </w:r>
    </w:p>
    <w:p>
      <w:pPr>
        <w:spacing w:after="120"/>
      </w:pPr>
      <w:r>
        <w:rPr>
          <w:b w:val="false"/>
          <w:bCs w:val="false"/>
          <w:i w:val="false"/>
          <w:iCs w:val="false"/>
        </w:rPr>
        <w:t xml:space="preserve">The postholder is expected to work in line with the Council's values and behaviours, to promote equality, diversity and inclusion, and to comply with the Council's policies including health and safety, information governance and safeguarding.</w:t>
      </w:r>
    </w:p>
    <w:p>
      <w:pPr>
        <w:spacing w:after="120"/>
      </w:pPr>
      <w:r>
        <w:rPr>
          <w:b w:val="false"/>
          <w:bCs w:val="false"/>
          <w:i/>
          <w:iCs/>
        </w:rPr>
        <w:t xml:space="preserve">This job description is not exhaustive and will be reviewed with the postholder. It may be amended to meet the changing needs of the service following consultation.</w:t>
      </w:r>
    </w:p>
    <w:p>
      <w:pPr>
        <w:pStyle w:val="Heading1"/>
        <w:pageBreakBefore/>
      </w:pPr>
      <w:r>
        <w:t xml:space="preserve">Person Specification</w:t>
      </w:r>
    </w:p>
    <w:p>
      <w:pPr>
        <w:spacing w:after="120"/>
      </w:pPr>
      <w:r>
        <w:rPr>
          <w:b/>
          <w:bCs/>
          <w:i w:val="false"/>
          <w:iCs w:val="false"/>
        </w:rPr>
        <w:t xml:space="preserve">Data and Intelligence Officer (Vision Zero), Grade 8</w:t>
      </w:r>
    </w:p>
    <w:p>
      <w:pPr>
        <w:spacing w:after="200"/>
      </w:pPr>
      <w:r>
        <w:rPr>
          <w:b w:val="false"/>
          <w:bCs w:val="false"/>
          <w:i/>
          <w:iCs/>
        </w:rPr>
        <w:t xml:space="preserve">Assessment key: A = Application, I = Interview, T = Test or work-based exercise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6938"/>
        <w:gridCol w:w="1200"/>
        <w:gridCol w:w="1500"/>
      </w:tblGrid>
      <w:tr>
        <w:tc>
          <w:tcPr>
            <w:tcW w:type="dxa" w:w="6938"/>
            <w:tcBorders>
              <w:top w:val="single" w:color="999999" w:sz="1"/>
              <w:left w:val="single" w:color="999999" w:sz="1"/>
              <w:bottom w:val="single" w:color="999999" w:sz="1"/>
              <w:right w:val="single" w:color="999999" w:sz="1"/>
            </w:tcBorders>
            <w:shd w:fill="D9E2F3" w:val="clear"/>
            <w:tcMar>
              <w:top w:type="dxa" w:w="80"/>
              <w:left w:type="dxa" w:w="120"/>
              <w:bottom w:type="dxa" w:w="80"/>
              <w:right w:type="dxa" w:w="120"/>
            </w:tcMar>
          </w:tcPr>
          <w:p>
            <w:r>
              <w:rPr>
                <w:b/>
                <w:bCs/>
              </w:rPr>
              <w:t xml:space="preserve">Criteria</w:t>
            </w:r>
          </w:p>
        </w:tc>
        <w:tc>
          <w:tcPr>
            <w:tcW w:type="dxa" w:w="1200"/>
            <w:tcBorders>
              <w:top w:val="single" w:color="999999" w:sz="1"/>
              <w:left w:val="single" w:color="999999" w:sz="1"/>
              <w:bottom w:val="single" w:color="999999" w:sz="1"/>
              <w:right w:val="single" w:color="999999" w:sz="1"/>
            </w:tcBorders>
            <w:shd w:fill="D9E2F3" w:val="clear"/>
            <w:tcMar>
              <w:top w:type="dxa" w:w="80"/>
              <w:left w:type="dxa" w:w="120"/>
              <w:bottom w:type="dxa" w:w="80"/>
              <w:right w:type="dxa" w:w="120"/>
            </w:tcMar>
          </w:tcPr>
          <w:p>
            <w:r>
              <w:rPr>
                <w:b/>
                <w:bCs/>
              </w:rPr>
              <w:t xml:space="preserve">Essential / Desirable</w:t>
            </w:r>
          </w:p>
        </w:tc>
        <w:tc>
          <w:tcPr>
            <w:tcW w:type="dxa" w:w="1500"/>
            <w:tcBorders>
              <w:top w:val="single" w:color="999999" w:sz="1"/>
              <w:left w:val="single" w:color="999999" w:sz="1"/>
              <w:bottom w:val="single" w:color="999999" w:sz="1"/>
              <w:right w:val="single" w:color="999999" w:sz="1"/>
            </w:tcBorders>
            <w:shd w:fill="D9E2F3" w:val="clear"/>
            <w:tcMar>
              <w:top w:type="dxa" w:w="80"/>
              <w:left w:type="dxa" w:w="120"/>
              <w:bottom w:type="dxa" w:w="80"/>
              <w:right w:type="dxa" w:w="120"/>
            </w:tcMar>
          </w:tcPr>
          <w:p>
            <w:r>
              <w:rPr>
                <w:b/>
                <w:bCs/>
              </w:rPr>
              <w:t xml:space="preserve">Assessed by</w:t>
            </w:r>
          </w:p>
        </w:tc>
      </w:tr>
      <w:tr>
        <w:tc>
          <w:tcPr>
            <w:tcW w:type="dxa" w:w="9638"/>
            <w:gridSpan w:val="3"/>
            <w:tcBorders>
              <w:top w:val="single" w:color="999999" w:sz="1"/>
              <w:left w:val="single" w:color="999999" w:sz="1"/>
              <w:bottom w:val="single" w:color="999999" w:sz="1"/>
              <w:right w:val="single" w:color="999999" w:sz="1"/>
            </w:tcBorders>
            <w:shd w:fill="F2F2F2" w:val="clear"/>
            <w:tcMar>
              <w:top w:type="dxa" w:w="80"/>
              <w:left w:type="dxa" w:w="120"/>
              <w:bottom w:type="dxa" w:w="80"/>
              <w:right w:type="dxa" w:w="120"/>
            </w:tcMar>
          </w:tcPr>
          <w:p>
            <w:r>
              <w:rPr>
                <w:b/>
                <w:bCs/>
              </w:rPr>
              <w:t xml:space="preserve">Qualifications and training</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Degree in a relevant discipline (for example data science, statistics, geography, transport planning, engineering) or equivalent demonstrable experience</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Evidence of continuing professional development in data analysis, GIS or a related field</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D</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w:t>
            </w:r>
          </w:p>
        </w:tc>
      </w:tr>
      <w:tr>
        <w:tc>
          <w:tcPr>
            <w:tcW w:type="dxa" w:w="9638"/>
            <w:gridSpan w:val="3"/>
            <w:tcBorders>
              <w:top w:val="single" w:color="999999" w:sz="1"/>
              <w:left w:val="single" w:color="999999" w:sz="1"/>
              <w:bottom w:val="single" w:color="999999" w:sz="1"/>
              <w:right w:val="single" w:color="999999" w:sz="1"/>
            </w:tcBorders>
            <w:shd w:fill="F2F2F2" w:val="clear"/>
            <w:tcMar>
              <w:top w:type="dxa" w:w="80"/>
              <w:left w:type="dxa" w:w="120"/>
              <w:bottom w:type="dxa" w:w="80"/>
              <w:right w:type="dxa" w:w="120"/>
            </w:tcMar>
          </w:tcPr>
          <w:p>
            <w:r>
              <w:rPr>
                <w:b/>
                <w:bCs/>
              </w:rPr>
              <w:t xml:space="preserve">Experience</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Substantial experience of managing, analysing and interpreting complex datasets and presenting findings clearly to technical and non-technical audiences</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 / I</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Experience of using GIS for spatial analysis and map production</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 / I / T</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Experience of building dashboards, visualisations or reproducible analytical pipelines (for example Power BI, Python or R)</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D</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 / I</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Experience of road safety, transport or wider public sector data, including collision databases such as STATS19 or KeyACCIDENT</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D</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 / I</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Experience of working with partner organisations to share, obtain or quality-assure data</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D</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 / I</w:t>
            </w:r>
          </w:p>
        </w:tc>
      </w:tr>
      <w:tr>
        <w:tc>
          <w:tcPr>
            <w:tcW w:type="dxa" w:w="9638"/>
            <w:gridSpan w:val="3"/>
            <w:tcBorders>
              <w:top w:val="single" w:color="999999" w:sz="1"/>
              <w:left w:val="single" w:color="999999" w:sz="1"/>
              <w:bottom w:val="single" w:color="999999" w:sz="1"/>
              <w:right w:val="single" w:color="999999" w:sz="1"/>
            </w:tcBorders>
            <w:shd w:fill="F2F2F2" w:val="clear"/>
            <w:tcMar>
              <w:top w:type="dxa" w:w="80"/>
              <w:left w:type="dxa" w:w="120"/>
              <w:bottom w:type="dxa" w:w="80"/>
              <w:right w:type="dxa" w:w="120"/>
            </w:tcMar>
          </w:tcPr>
          <w:p>
            <w:r>
              <w:rPr>
                <w:b/>
                <w:bCs/>
              </w:rPr>
              <w:t xml:space="preserve">Knowledge and understanding</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Understanding of data protection legislation (UK GDPR and the Data Protection Act 2018) and the safe handling of personal and sensitive data</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 / I</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Understanding of statistical concepts relevant to evaluation, including sampling, trend analysis and regression to mean</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I / T</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Knowledge of the Safe System approach and the aims of Vision Zero</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D</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 / I</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Understanding of local government decision-making, governance and reporting</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D</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I</w:t>
            </w:r>
          </w:p>
        </w:tc>
      </w:tr>
      <w:tr>
        <w:tc>
          <w:tcPr>
            <w:tcW w:type="dxa" w:w="9638"/>
            <w:gridSpan w:val="3"/>
            <w:tcBorders>
              <w:top w:val="single" w:color="999999" w:sz="1"/>
              <w:left w:val="single" w:color="999999" w:sz="1"/>
              <w:bottom w:val="single" w:color="999999" w:sz="1"/>
              <w:right w:val="single" w:color="999999" w:sz="1"/>
            </w:tcBorders>
            <w:shd w:fill="F2F2F2" w:val="clear"/>
            <w:tcMar>
              <w:top w:type="dxa" w:w="80"/>
              <w:left w:type="dxa" w:w="120"/>
              <w:bottom w:type="dxa" w:w="80"/>
              <w:right w:type="dxa" w:w="120"/>
            </w:tcMar>
          </w:tcPr>
          <w:p>
            <w:r>
              <w:rPr>
                <w:b/>
                <w:bCs/>
              </w:rPr>
              <w:t xml:space="preserve">Skills and abilities</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Advanced spreadsheet and data-handling skills with strong numerical reasoning</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 / T</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Ability to write clearly and concisely for senior audiences, including briefing notes and report annexes</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 / T</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Disciplined approach to data quality, documentation, metadata and version control</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 / I</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Ability to manage a varied workload, prioritise competing demands and work with minimal supervision</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I</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Ability to build productive relationships with colleagues, partners and elected members</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I</w:t>
            </w:r>
          </w:p>
        </w:tc>
      </w:tr>
      <w:tr>
        <w:tc>
          <w:tcPr>
            <w:tcW w:type="dxa" w:w="9638"/>
            <w:gridSpan w:val="3"/>
            <w:tcBorders>
              <w:top w:val="single" w:color="999999" w:sz="1"/>
              <w:left w:val="single" w:color="999999" w:sz="1"/>
              <w:bottom w:val="single" w:color="999999" w:sz="1"/>
              <w:right w:val="single" w:color="999999" w:sz="1"/>
            </w:tcBorders>
            <w:shd w:fill="F2F2F2" w:val="clear"/>
            <w:tcMar>
              <w:top w:type="dxa" w:w="80"/>
              <w:left w:type="dxa" w:w="120"/>
              <w:bottom w:type="dxa" w:w="80"/>
              <w:right w:type="dxa" w:w="120"/>
            </w:tcMar>
          </w:tcPr>
          <w:p>
            <w:r>
              <w:rPr>
                <w:b/>
                <w:bCs/>
              </w:rPr>
              <w:t xml:space="preserve">Other requirements</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Commitment to the Vision Zero ambition of eliminating deaths and serious injuries on the district's roads</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I</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Commitment to equality, diversity and inclusion in service delivery and analysis</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I</w:t>
            </w:r>
          </w:p>
        </w:tc>
      </w:tr>
      <w:tr>
        <w:tc>
          <w:tcPr>
            <w:tcW w:type="dxa" w:w="6938"/>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Ability to travel across the district and attend occasional evening meetings</w:t>
            </w:r>
          </w:p>
        </w:tc>
        <w:tc>
          <w:tcPr>
            <w:tcW w:type="dxa" w:w="12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E</w:t>
            </w:r>
          </w:p>
        </w:tc>
        <w:tc>
          <w:tcPr>
            <w:tcW w:type="dxa" w:w="150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b w:val="false"/>
                <w:bCs w:val="false"/>
              </w:rPr>
              <w:t xml:space="preserve">A / I</w:t>
            </w:r>
          </w:p>
        </w:tc>
      </w:tr>
    </w:tbl>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spacing w:after="100"/>
        <w:ind w:left="480" w:hanging="480"/>
      </w:pPr>
    </w:lvl>
  </w:abstractNum>
  <w:abstractNum w:abstractNumId="3" w15:restartNumberingAfterBreak="0">
    <w:multiLevelType w:val="hybridMultilevel"/>
    <w:lvl w:ilvl="0" w15:tentative="1">
      <w:start w:val="1"/>
      <w:numFmt w:val="bullet"/>
      <w:lvlText w:val="•"/>
      <w:lvlJc w:val="left"/>
      <w:pPr>
        <w:spacing w:after="80"/>
        <w:ind w:left="48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color w:val="1F3864"/>
      <w:sz w:val="30"/>
      <w:szCs w:val="30"/>
    </w:rPr>
  </w:style>
  <w:style w:type="paragraph" w:styleId="Heading2">
    <w:name w:val="Heading 2"/>
    <w:basedOn w:val="Normal"/>
    <w:next w:val="Normal"/>
    <w:qFormat/>
    <w:pPr>
      <w:spacing w:after="120" w:before="200"/>
      <w:outlineLvl w:val="1"/>
    </w:pPr>
    <w:rPr>
      <w:rFonts w:ascii="Arial" w:cs="Arial" w:eastAsia="Arial" w:hAnsi="Arial"/>
      <w:b/>
      <w:bCs/>
      <w:color w:val="1F386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2026-07-07T17:06:19.190Z</dcterms:created>
  <dcterms:modified xsi:type="dcterms:W3CDTF">2026-07-07T17:06:19.190Z</dcterms:modified>
</cp:coreProperties>
</file>

<file path=docProps/custom.xml><?xml version="1.0" encoding="utf-8"?>
<Properties xmlns="http://schemas.openxmlformats.org/officeDocument/2006/custom-properties" xmlns:vt="http://schemas.openxmlformats.org/officeDocument/2006/docPropsVTypes"/>
</file>