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239C" w14:paraId="62BAA813" w14:textId="77777777">
        <w:tc>
          <w:tcPr>
            <w:tcW w:w="0" w:type="auto"/>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00" w:type="dxa"/>
              <w:right w:w="360" w:type="dxa"/>
            </w:tcMar>
          </w:tcPr>
          <w:p w14:paraId="15DA8155" w14:textId="77777777" w:rsidR="007E239C" w:rsidRDefault="00A8496C">
            <w:pPr>
              <w:jc w:val="center"/>
            </w:pPr>
            <w:r>
              <w:rPr>
                <w:b/>
                <w:bCs/>
                <w:color w:val="FFFFFF"/>
                <w:sz w:val="32"/>
                <w:szCs w:val="32"/>
              </w:rPr>
              <w:t>Bradford Hate Crime Alliance</w:t>
            </w:r>
          </w:p>
          <w:p w14:paraId="7AA0572B" w14:textId="77777777" w:rsidR="007E239C" w:rsidRDefault="00A8496C">
            <w:pPr>
              <w:spacing w:before="80"/>
              <w:jc w:val="center"/>
            </w:pPr>
            <w:r>
              <w:rPr>
                <w:b/>
                <w:bCs/>
                <w:color w:val="A8D5E2"/>
                <w:sz w:val="28"/>
                <w:szCs w:val="28"/>
              </w:rPr>
              <w:t>Hate Crime Coordinator</w:t>
            </w:r>
          </w:p>
          <w:p w14:paraId="743CFCC9" w14:textId="77777777" w:rsidR="007E239C" w:rsidRDefault="00A8496C">
            <w:pPr>
              <w:spacing w:before="60"/>
              <w:jc w:val="center"/>
            </w:pPr>
            <w:r>
              <w:rPr>
                <w:color w:val="CCDDEE"/>
              </w:rPr>
              <w:t>Job Description — April 2026</w:t>
            </w:r>
          </w:p>
        </w:tc>
      </w:tr>
    </w:tbl>
    <w:p w14:paraId="2DCEC0E3" w14:textId="77777777" w:rsidR="007E239C" w:rsidRDefault="007E239C">
      <w:pPr>
        <w:spacing w:before="80" w:after="80"/>
      </w:pPr>
    </w:p>
    <w:p w14:paraId="6FCA9217" w14:textId="77777777" w:rsidR="007E239C" w:rsidRDefault="00A8496C">
      <w:pPr>
        <w:pStyle w:val="Heading1"/>
        <w:pBdr>
          <w:bottom w:val="single" w:sz="6" w:space="4" w:color="2E7D8E"/>
        </w:pBdr>
      </w:pPr>
      <w:r>
        <w:t>Role Overview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7E239C" w14:paraId="598511F1"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7"/>
            <w:tcMar>
              <w:top w:w="80" w:type="dxa"/>
              <w:left w:w="120" w:type="dxa"/>
              <w:bottom w:w="80" w:type="dxa"/>
              <w:right w:w="120" w:type="dxa"/>
            </w:tcMar>
          </w:tcPr>
          <w:p w14:paraId="49535D16" w14:textId="77777777" w:rsidR="007E239C" w:rsidRDefault="00A8496C">
            <w:r>
              <w:rPr>
                <w:b/>
                <w:bCs/>
              </w:rPr>
              <w:t>Job Title</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270204" w14:textId="77777777" w:rsidR="007E239C" w:rsidRDefault="00A8496C">
            <w:r>
              <w:t>Hate Crime Coordinator</w:t>
            </w:r>
          </w:p>
        </w:tc>
      </w:tr>
      <w:tr w:rsidR="007E239C" w14:paraId="462C5C0E"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7"/>
            <w:tcMar>
              <w:top w:w="80" w:type="dxa"/>
              <w:left w:w="120" w:type="dxa"/>
              <w:bottom w:w="80" w:type="dxa"/>
              <w:right w:w="120" w:type="dxa"/>
            </w:tcMar>
          </w:tcPr>
          <w:p w14:paraId="610E371F" w14:textId="77777777" w:rsidR="007E239C" w:rsidRDefault="00A8496C">
            <w:r>
              <w:rPr>
                <w:b/>
                <w:bCs/>
              </w:rPr>
              <w:t>Organisation</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6581AA" w14:textId="77777777" w:rsidR="007E239C" w:rsidRDefault="00A8496C">
            <w:r>
              <w:t>Bradford Hate Crime Alliance (BHCA)</w:t>
            </w:r>
          </w:p>
        </w:tc>
      </w:tr>
      <w:tr w:rsidR="007E239C" w14:paraId="5C48D615"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7"/>
            <w:tcMar>
              <w:top w:w="80" w:type="dxa"/>
              <w:left w:w="120" w:type="dxa"/>
              <w:bottom w:w="80" w:type="dxa"/>
              <w:right w:w="120" w:type="dxa"/>
            </w:tcMar>
          </w:tcPr>
          <w:p w14:paraId="2ED46452" w14:textId="77777777" w:rsidR="007E239C" w:rsidRDefault="00A8496C">
            <w:r>
              <w:rPr>
                <w:b/>
                <w:bCs/>
              </w:rPr>
              <w:t>Salary</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197276" w14:textId="77777777" w:rsidR="007E239C" w:rsidRDefault="00A8496C">
            <w:r>
              <w:t>£29,093 (pro rata)</w:t>
            </w:r>
          </w:p>
        </w:tc>
      </w:tr>
      <w:tr w:rsidR="007E239C" w14:paraId="3C86B3C1"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7"/>
            <w:tcMar>
              <w:top w:w="80" w:type="dxa"/>
              <w:left w:w="120" w:type="dxa"/>
              <w:bottom w:w="80" w:type="dxa"/>
              <w:right w:w="120" w:type="dxa"/>
            </w:tcMar>
          </w:tcPr>
          <w:p w14:paraId="7149CCD3" w14:textId="77777777" w:rsidR="007E239C" w:rsidRDefault="00A8496C">
            <w:r>
              <w:rPr>
                <w:b/>
                <w:bCs/>
              </w:rPr>
              <w:t>Hours</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43BBC1" w14:textId="77777777" w:rsidR="007E239C" w:rsidRDefault="00A8496C">
            <w:r>
              <w:t>22 hours per week</w:t>
            </w:r>
          </w:p>
        </w:tc>
      </w:tr>
      <w:tr w:rsidR="007E239C" w14:paraId="22846120"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7"/>
            <w:tcMar>
              <w:top w:w="80" w:type="dxa"/>
              <w:left w:w="120" w:type="dxa"/>
              <w:bottom w:w="80" w:type="dxa"/>
              <w:right w:w="120" w:type="dxa"/>
            </w:tcMar>
          </w:tcPr>
          <w:p w14:paraId="16AAC862" w14:textId="77777777" w:rsidR="007E239C" w:rsidRDefault="00A8496C">
            <w:r>
              <w:rPr>
                <w:b/>
                <w:bCs/>
              </w:rPr>
              <w:t>Base</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D62634" w14:textId="77777777" w:rsidR="007E239C" w:rsidRDefault="00A8496C">
            <w:r>
              <w:t>Mary Seacole Court, Park Road, Bradford, BD5 0SW</w:t>
            </w:r>
          </w:p>
        </w:tc>
      </w:tr>
      <w:tr w:rsidR="007E239C" w14:paraId="4978F19A"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7"/>
            <w:tcMar>
              <w:top w:w="80" w:type="dxa"/>
              <w:left w:w="120" w:type="dxa"/>
              <w:bottom w:w="80" w:type="dxa"/>
              <w:right w:w="120" w:type="dxa"/>
            </w:tcMar>
          </w:tcPr>
          <w:p w14:paraId="4B8EBFFF" w14:textId="77777777" w:rsidR="007E239C" w:rsidRDefault="00A8496C">
            <w:r>
              <w:rPr>
                <w:b/>
                <w:bCs/>
              </w:rPr>
              <w:t>Responsible to</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687C65" w14:textId="6002232D" w:rsidR="004C1221" w:rsidRDefault="00A8496C">
            <w:r>
              <w:t>BHCA Director</w:t>
            </w:r>
          </w:p>
        </w:tc>
      </w:tr>
      <w:tr w:rsidR="007E239C" w14:paraId="4B14C836" w14:textId="77777777">
        <w:tc>
          <w:tcPr>
            <w:tcW w:w="2400" w:type="dxa"/>
            <w:tcBorders>
              <w:top w:val="single" w:sz="1" w:space="0" w:color="CCCCCC"/>
              <w:left w:val="single" w:sz="1" w:space="0" w:color="CCCCCC"/>
              <w:bottom w:val="single" w:sz="1" w:space="0" w:color="CCCCCC"/>
              <w:right w:val="single" w:sz="1" w:space="0" w:color="CCCCCC"/>
            </w:tcBorders>
            <w:shd w:val="clear" w:color="auto" w:fill="E8F4F7"/>
            <w:tcMar>
              <w:top w:w="80" w:type="dxa"/>
              <w:left w:w="120" w:type="dxa"/>
              <w:bottom w:w="80" w:type="dxa"/>
              <w:right w:w="120" w:type="dxa"/>
            </w:tcMar>
          </w:tcPr>
          <w:p w14:paraId="3FD982A7" w14:textId="77777777" w:rsidR="007E239C" w:rsidRDefault="00A8496C">
            <w:r>
              <w:rPr>
                <w:b/>
                <w:bCs/>
              </w:rPr>
              <w:t>DBS Required</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76151D" w14:textId="77777777" w:rsidR="007E239C" w:rsidRDefault="00A8496C">
            <w:r>
              <w:t>Enhanced Disclosure and Barring Service (DBS) check</w:t>
            </w:r>
          </w:p>
        </w:tc>
      </w:tr>
    </w:tbl>
    <w:p w14:paraId="77518ED0" w14:textId="77777777" w:rsidR="007E239C" w:rsidRDefault="007E239C">
      <w:pPr>
        <w:spacing w:before="80" w:after="80"/>
      </w:pPr>
    </w:p>
    <w:p w14:paraId="0EE0C18B" w14:textId="77777777" w:rsidR="007E239C" w:rsidRDefault="00A8496C">
      <w:pPr>
        <w:spacing w:before="80" w:after="80"/>
      </w:pPr>
      <w:r>
        <w:t>Bradford Hate Crime Alliance (BHCA) is a registered charity with over 30 years of experience developing anti-hate strategies, delivering third-party hate crime reporting pathways, and supporting victims of hate crime across Bradford and the surrounding district.</w:t>
      </w:r>
    </w:p>
    <w:p w14:paraId="5F6DAE43" w14:textId="77777777" w:rsidR="007E239C" w:rsidRDefault="007E239C">
      <w:pPr>
        <w:spacing w:before="80" w:after="80"/>
      </w:pPr>
    </w:p>
    <w:p w14:paraId="0DC32619" w14:textId="77777777" w:rsidR="007E239C" w:rsidRDefault="00A8496C">
      <w:pPr>
        <w:spacing w:before="80" w:after="80"/>
      </w:pPr>
      <w:r>
        <w:t>The Hate Crime Coordinator is a central and highly visible role within BHCA. The postholder will coordinate hate crime reporting services, provide direct support and advocacy to victims, and act as a trusted liaison between communities, statutory partners, and BHCA's network of reporting centres.</w:t>
      </w:r>
    </w:p>
    <w:p w14:paraId="129933D3" w14:textId="77777777" w:rsidR="007E239C" w:rsidRDefault="007E239C">
      <w:pPr>
        <w:spacing w:before="80" w:after="80"/>
      </w:pPr>
    </w:p>
    <w:p w14:paraId="1A65D59C" w14:textId="77777777" w:rsidR="007E239C" w:rsidRDefault="00A8496C">
      <w:pPr>
        <w:pStyle w:val="Heading1"/>
        <w:pBdr>
          <w:bottom w:val="single" w:sz="6" w:space="4" w:color="2E7D8E"/>
        </w:pBdr>
      </w:pPr>
      <w:r>
        <w:t>Primary Objectives</w:t>
      </w:r>
    </w:p>
    <w:p w14:paraId="4FC07EBD" w14:textId="77777777" w:rsidR="007E239C" w:rsidRDefault="00A8496C">
      <w:pPr>
        <w:pStyle w:val="ListParagraph"/>
        <w:numPr>
          <w:ilvl w:val="0"/>
          <w:numId w:val="2"/>
        </w:numPr>
        <w:spacing w:before="40" w:after="40"/>
      </w:pPr>
      <w:r>
        <w:t>Ensure reporting centres deliver consistent, high-quality services to clients and communities across Bradford.</w:t>
      </w:r>
    </w:p>
    <w:p w14:paraId="26CAF3ED" w14:textId="77777777" w:rsidR="007E239C" w:rsidRDefault="00A8496C">
      <w:pPr>
        <w:pStyle w:val="ListParagraph"/>
        <w:numPr>
          <w:ilvl w:val="0"/>
          <w:numId w:val="2"/>
        </w:numPr>
        <w:spacing w:before="40" w:after="40"/>
      </w:pPr>
      <w:r>
        <w:t>Maintain and develop BHCA's network of approved hate crime reporting centres.</w:t>
      </w:r>
    </w:p>
    <w:p w14:paraId="52FC87B7" w14:textId="77777777" w:rsidR="007E239C" w:rsidRDefault="00A8496C">
      <w:pPr>
        <w:pStyle w:val="ListParagraph"/>
        <w:numPr>
          <w:ilvl w:val="0"/>
          <w:numId w:val="2"/>
        </w:numPr>
        <w:spacing w:before="40" w:after="40"/>
      </w:pPr>
      <w:r>
        <w:t>Develop and diversify hate crime reporting methods in line with BMDC and Board requirements.</w:t>
      </w:r>
    </w:p>
    <w:p w14:paraId="3CEF4F4C" w14:textId="77777777" w:rsidR="007E239C" w:rsidRDefault="00A8496C">
      <w:pPr>
        <w:pStyle w:val="ListParagraph"/>
        <w:numPr>
          <w:ilvl w:val="0"/>
          <w:numId w:val="2"/>
        </w:numPr>
        <w:spacing w:before="40" w:after="40"/>
      </w:pPr>
      <w:r>
        <w:t>Provide direct advocacy, support and signposting to victims of hate crime.</w:t>
      </w:r>
    </w:p>
    <w:p w14:paraId="43C1EBF4" w14:textId="77777777" w:rsidR="007E239C" w:rsidRDefault="00A8496C">
      <w:pPr>
        <w:pStyle w:val="ListParagraph"/>
        <w:numPr>
          <w:ilvl w:val="0"/>
          <w:numId w:val="2"/>
        </w:numPr>
        <w:spacing w:before="40" w:after="40"/>
      </w:pPr>
      <w:r>
        <w:t>Deliver education, awareness training and outreach to schools, community groups and partner organisations.</w:t>
      </w:r>
    </w:p>
    <w:p w14:paraId="0185C536" w14:textId="77777777" w:rsidR="007E239C" w:rsidRDefault="00A8496C">
      <w:pPr>
        <w:pStyle w:val="ListParagraph"/>
        <w:numPr>
          <w:ilvl w:val="0"/>
          <w:numId w:val="2"/>
        </w:numPr>
        <w:spacing w:before="40" w:after="40"/>
      </w:pPr>
      <w:r>
        <w:t>Contribute to BHCA's digital communications, including its website and social media channels.</w:t>
      </w:r>
    </w:p>
    <w:p w14:paraId="03EB6CBB" w14:textId="77777777" w:rsidR="007E239C" w:rsidRDefault="007E239C">
      <w:pPr>
        <w:spacing w:before="80" w:after="80"/>
      </w:pPr>
    </w:p>
    <w:p w14:paraId="79B6F9AE" w14:textId="77777777" w:rsidR="007E239C" w:rsidRDefault="00A8496C">
      <w:pPr>
        <w:pStyle w:val="Heading1"/>
        <w:pBdr>
          <w:bottom w:val="single" w:sz="6" w:space="4" w:color="2E7D8E"/>
        </w:pBdr>
      </w:pPr>
      <w:r>
        <w:t>Supervisory Responsibilities</w:t>
      </w:r>
    </w:p>
    <w:p w14:paraId="7B9572F1" w14:textId="77777777" w:rsidR="007E239C" w:rsidRDefault="00A8496C">
      <w:pPr>
        <w:spacing w:before="80" w:after="80"/>
      </w:pPr>
      <w:r>
        <w:lastRenderedPageBreak/>
        <w:t>The postholder will be supervised by and directly responsible to the BHCA Director, and ultimately accountable to the BHCA Management Board. The postholder will supervise any volunteers or students on placement, providing regular supervision and clear work plans.</w:t>
      </w:r>
    </w:p>
    <w:p w14:paraId="2F679132" w14:textId="77777777" w:rsidR="007E239C" w:rsidRDefault="007E239C">
      <w:pPr>
        <w:spacing w:before="80" w:after="80"/>
      </w:pPr>
    </w:p>
    <w:p w14:paraId="3339F891" w14:textId="77777777" w:rsidR="007E239C" w:rsidRDefault="00A8496C">
      <w:pPr>
        <w:pStyle w:val="Heading1"/>
        <w:pBdr>
          <w:bottom w:val="single" w:sz="6" w:space="4" w:color="2E7D8E"/>
        </w:pBdr>
      </w:pPr>
      <w:r>
        <w:t>Roles and Responsibilities</w:t>
      </w:r>
    </w:p>
    <w:p w14:paraId="52019E81" w14:textId="77777777" w:rsidR="007E239C" w:rsidRDefault="00A8496C">
      <w:pPr>
        <w:pStyle w:val="Heading2"/>
      </w:pPr>
      <w:r>
        <w:t>1. Reporting Centre Management &amp; Quality Assurance</w:t>
      </w:r>
    </w:p>
    <w:p w14:paraId="232A8DD0" w14:textId="77777777" w:rsidR="007E239C" w:rsidRDefault="00A8496C">
      <w:pPr>
        <w:pStyle w:val="ListParagraph"/>
        <w:numPr>
          <w:ilvl w:val="0"/>
          <w:numId w:val="2"/>
        </w:numPr>
        <w:spacing w:before="40" w:after="40"/>
      </w:pPr>
      <w:r>
        <w:t>Manage the annual audit process for all designated Hate Crime Reporting Centres; maintain an accurate annual register and provide detailed performance feedback to the BHCA Director.</w:t>
      </w:r>
    </w:p>
    <w:p w14:paraId="328F1AF6" w14:textId="77777777" w:rsidR="007E239C" w:rsidRDefault="00A8496C">
      <w:pPr>
        <w:pStyle w:val="ListParagraph"/>
        <w:numPr>
          <w:ilvl w:val="0"/>
          <w:numId w:val="2"/>
        </w:numPr>
        <w:spacing w:before="40" w:after="40"/>
      </w:pPr>
      <w:r>
        <w:t>Oversee day-to-day management of reporting centres, ensuring they remain accessible, safe, and effectively utilised by the community.</w:t>
      </w:r>
    </w:p>
    <w:p w14:paraId="370A2443" w14:textId="77777777" w:rsidR="007E239C" w:rsidRDefault="00A8496C">
      <w:pPr>
        <w:pStyle w:val="ListParagraph"/>
        <w:numPr>
          <w:ilvl w:val="0"/>
          <w:numId w:val="2"/>
        </w:numPr>
        <w:spacing w:before="40" w:after="40"/>
      </w:pPr>
      <w:r>
        <w:t>Ensure all staff and volunteers within reporting centres are fully trained in recording incidents accurately and handling disclosures with sensitivity and professionalism.</w:t>
      </w:r>
    </w:p>
    <w:p w14:paraId="1B1DF077" w14:textId="77777777" w:rsidR="007E239C" w:rsidRDefault="007E239C">
      <w:pPr>
        <w:spacing w:before="80" w:after="80"/>
      </w:pPr>
    </w:p>
    <w:p w14:paraId="669EBBB4" w14:textId="77777777" w:rsidR="007E239C" w:rsidRDefault="00A8496C">
      <w:pPr>
        <w:pStyle w:val="Heading2"/>
      </w:pPr>
      <w:r>
        <w:t>2. Victim Support &amp; Advocacy</w:t>
      </w:r>
    </w:p>
    <w:p w14:paraId="7293C440" w14:textId="77777777" w:rsidR="007E239C" w:rsidRDefault="00A8496C">
      <w:pPr>
        <w:pStyle w:val="ListParagraph"/>
        <w:numPr>
          <w:ilvl w:val="0"/>
          <w:numId w:val="2"/>
        </w:numPr>
        <w:spacing w:before="40" w:after="40"/>
      </w:pPr>
      <w:r>
        <w:t>Provide high-quality, person-centred advocacy and support to victims of hate crime, working closely with West Yorkshire Police Hate Crime Officers on advice and case progression.</w:t>
      </w:r>
    </w:p>
    <w:p w14:paraId="29DCBF9E" w14:textId="77777777" w:rsidR="007E239C" w:rsidRDefault="00A8496C">
      <w:pPr>
        <w:pStyle w:val="ListParagraph"/>
        <w:numPr>
          <w:ilvl w:val="0"/>
          <w:numId w:val="2"/>
        </w:numPr>
        <w:spacing w:before="40" w:after="40"/>
      </w:pPr>
      <w:r>
        <w:t>Ensure victims are connected to appropriate long-term support services or legal advice providers, acting as a bridge between the victim and necessary resources.</w:t>
      </w:r>
    </w:p>
    <w:p w14:paraId="14AFC753" w14:textId="77777777" w:rsidR="007E239C" w:rsidRDefault="00A8496C">
      <w:pPr>
        <w:pStyle w:val="ListParagraph"/>
        <w:numPr>
          <w:ilvl w:val="0"/>
          <w:numId w:val="2"/>
        </w:numPr>
        <w:spacing w:before="40" w:after="40"/>
      </w:pPr>
      <w:r>
        <w:t>Ensure all victim interactions, case notes and data are recorded in strict adherence to BHCA Safeguarding policies and GDPR legislation to protect victim confidentiality.</w:t>
      </w:r>
    </w:p>
    <w:p w14:paraId="367E7419" w14:textId="77777777" w:rsidR="007E239C" w:rsidRDefault="007E239C">
      <w:pPr>
        <w:spacing w:before="80" w:after="80"/>
      </w:pPr>
    </w:p>
    <w:p w14:paraId="2C38BEB9" w14:textId="77777777" w:rsidR="007E239C" w:rsidRDefault="00A8496C">
      <w:pPr>
        <w:pStyle w:val="Heading2"/>
      </w:pPr>
      <w:r>
        <w:t>3. Partnership &amp; Community Engagement</w:t>
      </w:r>
    </w:p>
    <w:p w14:paraId="17F9784E" w14:textId="77777777" w:rsidR="007E239C" w:rsidRDefault="00A8496C">
      <w:pPr>
        <w:pStyle w:val="ListParagraph"/>
        <w:numPr>
          <w:ilvl w:val="0"/>
          <w:numId w:val="2"/>
        </w:numPr>
        <w:spacing w:before="40" w:after="40"/>
      </w:pPr>
      <w:r>
        <w:t>Work closely with West Yorkshire Police Hate Crime Officers and Bradford Metropolitan District Council (BMDC) to align reporting efforts and share intelligence on emerging trends.</w:t>
      </w:r>
    </w:p>
    <w:p w14:paraId="58890B8C" w14:textId="77777777" w:rsidR="007E239C" w:rsidRDefault="00A8496C">
      <w:pPr>
        <w:pStyle w:val="ListParagraph"/>
        <w:numPr>
          <w:ilvl w:val="0"/>
          <w:numId w:val="2"/>
        </w:numPr>
        <w:spacing w:before="40" w:after="40"/>
      </w:pPr>
      <w:r>
        <w:t>Proactively build and maintain relationships with diverse community groups, faith leaders and organisations representing protected characteristic groups, to foster trust and encourage reporting.</w:t>
      </w:r>
    </w:p>
    <w:p w14:paraId="1C8CD114" w14:textId="77777777" w:rsidR="007E239C" w:rsidRDefault="00A8496C">
      <w:pPr>
        <w:pStyle w:val="ListParagraph"/>
        <w:numPr>
          <w:ilvl w:val="0"/>
          <w:numId w:val="2"/>
        </w:numPr>
        <w:spacing w:before="40" w:after="40"/>
      </w:pPr>
      <w:r>
        <w:t>Act as a subject matter expert, offering advice to partners and local businesses on boosting reporting and contributing to the elimination of hate crime across Bradford.</w:t>
      </w:r>
    </w:p>
    <w:p w14:paraId="613DB039" w14:textId="77777777" w:rsidR="007E239C" w:rsidRDefault="007E239C">
      <w:pPr>
        <w:spacing w:before="80" w:after="80"/>
      </w:pPr>
    </w:p>
    <w:p w14:paraId="169E713F" w14:textId="77777777" w:rsidR="007E239C" w:rsidRDefault="00A8496C">
      <w:pPr>
        <w:pStyle w:val="Heading2"/>
      </w:pPr>
      <w:r>
        <w:t>4. Education, Awareness &amp; Digital Strategy</w:t>
      </w:r>
    </w:p>
    <w:p w14:paraId="576B3F00" w14:textId="77777777" w:rsidR="007E239C" w:rsidRDefault="00A8496C">
      <w:pPr>
        <w:pStyle w:val="ListParagraph"/>
        <w:numPr>
          <w:ilvl w:val="0"/>
          <w:numId w:val="2"/>
        </w:numPr>
        <w:spacing w:before="40" w:after="40"/>
      </w:pPr>
      <w:r>
        <w:t>Design and lead sector-specific training and educational workshops for schools, colleges and community organisations to raise awareness of hate crime legislation and reporting pathways.</w:t>
      </w:r>
    </w:p>
    <w:p w14:paraId="485CB6EB" w14:textId="77777777" w:rsidR="007E239C" w:rsidRDefault="00A8496C">
      <w:pPr>
        <w:pStyle w:val="ListParagraph"/>
        <w:numPr>
          <w:ilvl w:val="0"/>
          <w:numId w:val="2"/>
        </w:numPr>
        <w:spacing w:before="40" w:after="40"/>
      </w:pPr>
      <w:r>
        <w:t>Develop and execute a digital communications strategy, including updating the BHCA website and enhancing social media presence, to reach wider audiences and modernise reporting accessibility.</w:t>
      </w:r>
    </w:p>
    <w:p w14:paraId="27E23FFF" w14:textId="77777777" w:rsidR="007E239C" w:rsidRDefault="007E239C">
      <w:pPr>
        <w:spacing w:before="80" w:after="80"/>
      </w:pPr>
    </w:p>
    <w:p w14:paraId="2DBDDF52" w14:textId="77777777" w:rsidR="007E239C" w:rsidRDefault="00A8496C">
      <w:pPr>
        <w:pStyle w:val="Heading2"/>
      </w:pPr>
      <w:r>
        <w:t>5. Governance &amp; Administration</w:t>
      </w:r>
    </w:p>
    <w:p w14:paraId="682D23C7" w14:textId="77777777" w:rsidR="007E239C" w:rsidRDefault="00A8496C">
      <w:pPr>
        <w:pStyle w:val="ListParagraph"/>
        <w:numPr>
          <w:ilvl w:val="0"/>
          <w:numId w:val="2"/>
        </w:numPr>
        <w:spacing w:before="40" w:after="40"/>
      </w:pPr>
      <w:r>
        <w:lastRenderedPageBreak/>
        <w:t>Maintain robust monitoring and evaluation systems; prepare comprehensive monthly progress reports for the BHCA Management Board and external commissioning bodies.</w:t>
      </w:r>
    </w:p>
    <w:p w14:paraId="26C28514" w14:textId="77777777" w:rsidR="007E239C" w:rsidRDefault="00A8496C">
      <w:pPr>
        <w:pStyle w:val="ListParagraph"/>
        <w:numPr>
          <w:ilvl w:val="0"/>
          <w:numId w:val="2"/>
        </w:numPr>
        <w:spacing w:before="40" w:after="40"/>
      </w:pPr>
      <w:r>
        <w:t>Supervise and mentor volunteers or students on placement, ensuring they have clear work plans and receive regular supervision.</w:t>
      </w:r>
    </w:p>
    <w:p w14:paraId="0F780671" w14:textId="77777777" w:rsidR="007E239C" w:rsidRDefault="00A8496C">
      <w:pPr>
        <w:pStyle w:val="ListParagraph"/>
        <w:numPr>
          <w:ilvl w:val="0"/>
          <w:numId w:val="2"/>
        </w:numPr>
        <w:spacing w:before="40" w:after="40"/>
      </w:pPr>
      <w:r>
        <w:t xml:space="preserve">Manage the efficient handling of all project administration, including petty cash records and the </w:t>
      </w:r>
      <w:proofErr w:type="gramStart"/>
      <w:r>
        <w:t>safe-keeping</w:t>
      </w:r>
      <w:proofErr w:type="gramEnd"/>
      <w:r>
        <w:t xml:space="preserve"> of BHCA assets.</w:t>
      </w:r>
    </w:p>
    <w:p w14:paraId="0A9BDD0B" w14:textId="77777777" w:rsidR="007E239C" w:rsidRDefault="007E239C">
      <w:pPr>
        <w:spacing w:before="80" w:after="80"/>
      </w:pPr>
    </w:p>
    <w:p w14:paraId="187BA71F" w14:textId="77777777" w:rsidR="007E239C" w:rsidRDefault="00A8496C">
      <w:pPr>
        <w:pStyle w:val="Heading2"/>
      </w:pPr>
      <w:r>
        <w:t>6. General Requirements</w:t>
      </w:r>
    </w:p>
    <w:p w14:paraId="5AC7059C" w14:textId="77777777" w:rsidR="007E239C" w:rsidRDefault="00A8496C">
      <w:pPr>
        <w:pStyle w:val="ListParagraph"/>
        <w:numPr>
          <w:ilvl w:val="0"/>
          <w:numId w:val="2"/>
        </w:numPr>
        <w:spacing w:before="40" w:after="40"/>
      </w:pPr>
      <w:r>
        <w:t>Be available to work flexible hours, including occasional evenings and weekends, to meet community needs and attend relevant events.</w:t>
      </w:r>
    </w:p>
    <w:p w14:paraId="202F181A" w14:textId="77777777" w:rsidR="007E239C" w:rsidRDefault="00A8496C">
      <w:pPr>
        <w:pStyle w:val="ListParagraph"/>
        <w:numPr>
          <w:ilvl w:val="0"/>
          <w:numId w:val="2"/>
        </w:numPr>
        <w:spacing w:before="40" w:after="40"/>
      </w:pPr>
      <w:r>
        <w:t>Actively identify and introduce new ideas or processes that improve the efficiency of BHCA services and the safety of the community.</w:t>
      </w:r>
    </w:p>
    <w:p w14:paraId="49BC5C89" w14:textId="74D6A928" w:rsidR="007E239C" w:rsidRDefault="004C1221">
      <w:pPr>
        <w:pStyle w:val="ListParagraph"/>
        <w:numPr>
          <w:ilvl w:val="0"/>
          <w:numId w:val="2"/>
        </w:numPr>
        <w:spacing w:before="40" w:after="40"/>
      </w:pPr>
      <w:r>
        <w:t>To maintain commitment to BHCA's equal opportunities and safeguarding policies at all times.</w:t>
      </w:r>
    </w:p>
    <w:p w14:paraId="5A36CB5C" w14:textId="77777777" w:rsidR="007E239C" w:rsidRDefault="007E239C">
      <w:pPr>
        <w:spacing w:before="80" w:after="80"/>
      </w:pPr>
    </w:p>
    <w:p w14:paraId="03246F3A" w14:textId="77777777" w:rsidR="007E239C" w:rsidRDefault="00A8496C">
      <w:pPr>
        <w:spacing w:before="80" w:after="80"/>
      </w:pPr>
      <w:r>
        <w:rPr>
          <w:i/>
          <w:iCs/>
        </w:rPr>
        <w:t>This job description is not exhaustive. The postholder may be required to undertake other duties consistent with the grade and purpose of the role, as directed by the BHCA Director.</w:t>
      </w:r>
    </w:p>
    <w:p w14:paraId="27CBBFA4" w14:textId="77777777" w:rsidR="007E239C" w:rsidRDefault="007E239C">
      <w:pPr>
        <w:spacing w:before="80" w:after="80"/>
      </w:pPr>
    </w:p>
    <w:p w14:paraId="4E83B991" w14:textId="77777777" w:rsidR="007E239C" w:rsidRDefault="00A8496C">
      <w:pPr>
        <w:spacing w:before="80" w:after="80"/>
      </w:pPr>
      <w:r>
        <w:rPr>
          <w:b/>
          <w:bCs/>
        </w:rPr>
        <w:t>Reviewed: April 2026</w:t>
      </w:r>
    </w:p>
    <w:sectPr w:rsidR="007E239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E84"/>
    <w:multiLevelType w:val="hybridMultilevel"/>
    <w:tmpl w:val="F698B81C"/>
    <w:lvl w:ilvl="0" w:tplc="8DFA1D10">
      <w:start w:val="1"/>
      <w:numFmt w:val="bullet"/>
      <w:lvlText w:val="●"/>
      <w:lvlJc w:val="left"/>
      <w:pPr>
        <w:ind w:left="720" w:hanging="360"/>
      </w:pPr>
    </w:lvl>
    <w:lvl w:ilvl="1" w:tplc="54B406F2">
      <w:start w:val="1"/>
      <w:numFmt w:val="bullet"/>
      <w:lvlText w:val="○"/>
      <w:lvlJc w:val="left"/>
      <w:pPr>
        <w:ind w:left="1440" w:hanging="360"/>
      </w:pPr>
    </w:lvl>
    <w:lvl w:ilvl="2" w:tplc="D3E8E7D6">
      <w:start w:val="1"/>
      <w:numFmt w:val="bullet"/>
      <w:lvlText w:val="■"/>
      <w:lvlJc w:val="left"/>
      <w:pPr>
        <w:ind w:left="2160" w:hanging="360"/>
      </w:pPr>
    </w:lvl>
    <w:lvl w:ilvl="3" w:tplc="C38A2B04">
      <w:start w:val="1"/>
      <w:numFmt w:val="bullet"/>
      <w:lvlText w:val="●"/>
      <w:lvlJc w:val="left"/>
      <w:pPr>
        <w:ind w:left="2880" w:hanging="360"/>
      </w:pPr>
    </w:lvl>
    <w:lvl w:ilvl="4" w:tplc="7D14C458">
      <w:start w:val="1"/>
      <w:numFmt w:val="bullet"/>
      <w:lvlText w:val="○"/>
      <w:lvlJc w:val="left"/>
      <w:pPr>
        <w:ind w:left="3600" w:hanging="360"/>
      </w:pPr>
    </w:lvl>
    <w:lvl w:ilvl="5" w:tplc="0DC6BD4E">
      <w:start w:val="1"/>
      <w:numFmt w:val="bullet"/>
      <w:lvlText w:val="■"/>
      <w:lvlJc w:val="left"/>
      <w:pPr>
        <w:ind w:left="4320" w:hanging="360"/>
      </w:pPr>
    </w:lvl>
    <w:lvl w:ilvl="6" w:tplc="DA5210C6">
      <w:start w:val="1"/>
      <w:numFmt w:val="bullet"/>
      <w:lvlText w:val="●"/>
      <w:lvlJc w:val="left"/>
      <w:pPr>
        <w:ind w:left="5040" w:hanging="360"/>
      </w:pPr>
    </w:lvl>
    <w:lvl w:ilvl="7" w:tplc="E6D4E61C">
      <w:start w:val="1"/>
      <w:numFmt w:val="bullet"/>
      <w:lvlText w:val="●"/>
      <w:lvlJc w:val="left"/>
      <w:pPr>
        <w:ind w:left="5760" w:hanging="360"/>
      </w:pPr>
    </w:lvl>
    <w:lvl w:ilvl="8" w:tplc="7C1A83FC">
      <w:start w:val="1"/>
      <w:numFmt w:val="bullet"/>
      <w:lvlText w:val="●"/>
      <w:lvlJc w:val="left"/>
      <w:pPr>
        <w:ind w:left="6480" w:hanging="360"/>
      </w:pPr>
    </w:lvl>
  </w:abstractNum>
  <w:abstractNum w:abstractNumId="1" w15:restartNumberingAfterBreak="0">
    <w:nsid w:val="13D225C9"/>
    <w:multiLevelType w:val="hybridMultilevel"/>
    <w:tmpl w:val="7374A6DA"/>
    <w:lvl w:ilvl="0" w:tplc="8AC66A36">
      <w:start w:val="1"/>
      <w:numFmt w:val="decimal"/>
      <w:lvlText w:val="%1."/>
      <w:lvlJc w:val="left"/>
      <w:pPr>
        <w:ind w:left="720" w:hanging="360"/>
      </w:pPr>
    </w:lvl>
    <w:lvl w:ilvl="1" w:tplc="F6D86108">
      <w:numFmt w:val="decimal"/>
      <w:lvlText w:val=""/>
      <w:lvlJc w:val="left"/>
    </w:lvl>
    <w:lvl w:ilvl="2" w:tplc="F04A0A78">
      <w:numFmt w:val="decimal"/>
      <w:lvlText w:val=""/>
      <w:lvlJc w:val="left"/>
    </w:lvl>
    <w:lvl w:ilvl="3" w:tplc="1A044B96">
      <w:numFmt w:val="decimal"/>
      <w:lvlText w:val=""/>
      <w:lvlJc w:val="left"/>
    </w:lvl>
    <w:lvl w:ilvl="4" w:tplc="258CE2DE">
      <w:numFmt w:val="decimal"/>
      <w:lvlText w:val=""/>
      <w:lvlJc w:val="left"/>
    </w:lvl>
    <w:lvl w:ilvl="5" w:tplc="EF32F170">
      <w:numFmt w:val="decimal"/>
      <w:lvlText w:val=""/>
      <w:lvlJc w:val="left"/>
    </w:lvl>
    <w:lvl w:ilvl="6" w:tplc="1BC60540">
      <w:numFmt w:val="decimal"/>
      <w:lvlText w:val=""/>
      <w:lvlJc w:val="left"/>
    </w:lvl>
    <w:lvl w:ilvl="7" w:tplc="A7EEE526">
      <w:numFmt w:val="decimal"/>
      <w:lvlText w:val=""/>
      <w:lvlJc w:val="left"/>
    </w:lvl>
    <w:lvl w:ilvl="8" w:tplc="714E17F2">
      <w:numFmt w:val="decimal"/>
      <w:lvlText w:val=""/>
      <w:lvlJc w:val="left"/>
    </w:lvl>
  </w:abstractNum>
  <w:abstractNum w:abstractNumId="2" w15:restartNumberingAfterBreak="0">
    <w:nsid w:val="5C7D6AA2"/>
    <w:multiLevelType w:val="hybridMultilevel"/>
    <w:tmpl w:val="0A2EC528"/>
    <w:lvl w:ilvl="0" w:tplc="41D4B182">
      <w:start w:val="1"/>
      <w:numFmt w:val="bullet"/>
      <w:lvlText w:val="•"/>
      <w:lvlJc w:val="left"/>
      <w:pPr>
        <w:ind w:left="720" w:hanging="360"/>
      </w:pPr>
    </w:lvl>
    <w:lvl w:ilvl="1" w:tplc="42EA9DF2">
      <w:numFmt w:val="decimal"/>
      <w:lvlText w:val=""/>
      <w:lvlJc w:val="left"/>
    </w:lvl>
    <w:lvl w:ilvl="2" w:tplc="BD6EDB48">
      <w:numFmt w:val="decimal"/>
      <w:lvlText w:val=""/>
      <w:lvlJc w:val="left"/>
    </w:lvl>
    <w:lvl w:ilvl="3" w:tplc="D904F498">
      <w:numFmt w:val="decimal"/>
      <w:lvlText w:val=""/>
      <w:lvlJc w:val="left"/>
    </w:lvl>
    <w:lvl w:ilvl="4" w:tplc="3634FA6C">
      <w:numFmt w:val="decimal"/>
      <w:lvlText w:val=""/>
      <w:lvlJc w:val="left"/>
    </w:lvl>
    <w:lvl w:ilvl="5" w:tplc="AB72D808">
      <w:numFmt w:val="decimal"/>
      <w:lvlText w:val=""/>
      <w:lvlJc w:val="left"/>
    </w:lvl>
    <w:lvl w:ilvl="6" w:tplc="69B25736">
      <w:numFmt w:val="decimal"/>
      <w:lvlText w:val=""/>
      <w:lvlJc w:val="left"/>
    </w:lvl>
    <w:lvl w:ilvl="7" w:tplc="3092B52C">
      <w:numFmt w:val="decimal"/>
      <w:lvlText w:val=""/>
      <w:lvlJc w:val="left"/>
    </w:lvl>
    <w:lvl w:ilvl="8" w:tplc="001EDBCA">
      <w:numFmt w:val="decimal"/>
      <w:lvlText w:val=""/>
      <w:lvlJc w:val="left"/>
    </w:lvl>
  </w:abstractNum>
  <w:num w:numId="1" w16cid:durableId="345792310">
    <w:abstractNumId w:val="0"/>
    <w:lvlOverride w:ilvl="0">
      <w:startOverride w:val="1"/>
    </w:lvlOverride>
  </w:num>
  <w:num w:numId="2" w16cid:durableId="20928479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9C"/>
    <w:rsid w:val="00136F5A"/>
    <w:rsid w:val="004C1221"/>
    <w:rsid w:val="007E239C"/>
    <w:rsid w:val="00A8496C"/>
    <w:rsid w:val="00E6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19C3"/>
  <w15:docId w15:val="{676D0256-C778-724A-B04A-9202BB2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3A6B"/>
      <w:sz w:val="28"/>
      <w:szCs w:val="28"/>
    </w:rPr>
  </w:style>
  <w:style w:type="paragraph" w:styleId="Heading2">
    <w:name w:val="heading 2"/>
    <w:uiPriority w:val="9"/>
    <w:unhideWhenUsed/>
    <w:qFormat/>
    <w:pPr>
      <w:spacing w:before="240" w:after="120"/>
      <w:outlineLvl w:val="1"/>
    </w:pPr>
    <w:rPr>
      <w:b/>
      <w:bCs/>
      <w:color w:val="2E7D8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4230</Characters>
  <Application>Microsoft Office Word</Application>
  <DocSecurity>4</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Amanda Clegg</cp:lastModifiedBy>
  <cp:revision>2</cp:revision>
  <dcterms:created xsi:type="dcterms:W3CDTF">2026-04-28T09:26:00Z</dcterms:created>
  <dcterms:modified xsi:type="dcterms:W3CDTF">2026-04-28T09:26:00Z</dcterms:modified>
</cp:coreProperties>
</file>