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3FE130CA"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r w:rsidR="005303E4">
              <w:rPr>
                <w:rFonts w:ascii="Arial" w:eastAsia="Times New Roman" w:hAnsi="Arial" w:cs="Arial"/>
                <w:b/>
                <w:bCs/>
                <w:color w:val="000000"/>
                <w:sz w:val="20"/>
                <w:szCs w:val="20"/>
                <w:lang w:eastAsia="en-GB"/>
              </w:rPr>
              <w:t xml:space="preserve"> / HR</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431475F"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131A47" w:rsidRPr="00D3232C">
              <w:rPr>
                <w:rFonts w:ascii="Arial" w:hAnsi="Arial" w:cs="Arial"/>
                <w:b/>
              </w:rPr>
              <w:t>Senior Public Health Specialist</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CC4A4AD" w:rsidR="00A47A5E" w:rsidRPr="00A47A5E" w:rsidRDefault="005A03DA" w:rsidP="00A47A5E">
            <w:pPr>
              <w:spacing w:after="0" w:line="240" w:lineRule="auto"/>
              <w:rPr>
                <w:rFonts w:ascii="Arial" w:eastAsia="Times New Roman" w:hAnsi="Arial" w:cs="Arial"/>
                <w:color w:val="000000"/>
                <w:sz w:val="20"/>
                <w:szCs w:val="20"/>
                <w:lang w:eastAsia="en-GB"/>
              </w:rPr>
            </w:pPr>
            <w:r>
              <w:rPr>
                <w:rFonts w:ascii="Arial" w:hAnsi="Arial" w:cs="Arial"/>
                <w:b/>
                <w:bCs/>
              </w:rPr>
              <w:t>Health and Wellbeing</w:t>
            </w:r>
            <w:r>
              <w:rPr>
                <w:rFonts w:ascii="Arial" w:hAnsi="Arial" w:cs="Arial"/>
                <w:b/>
                <w:bCs/>
              </w:rPr>
              <w:t xml:space="preserve"> (Adult Social Care)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D702A0" w:rsidRDefault="003B0D8D" w:rsidP="00A47A5E">
            <w:pPr>
              <w:spacing w:after="0" w:line="240" w:lineRule="auto"/>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1E99E14A"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5A03DA">
              <w:rPr>
                <w:rFonts w:ascii="Arial" w:eastAsia="Times New Roman" w:hAnsi="Arial" w:cs="Arial"/>
                <w:color w:val="000000"/>
                <w:sz w:val="20"/>
                <w:szCs w:val="20"/>
                <w:lang w:eastAsia="en-GB"/>
              </w:rPr>
              <w:t>Public Health</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BA5C931" w:rsidR="00A47A5E" w:rsidRDefault="005A03DA"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Tim Howells- Head of Public Health </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0EBDE29C" w14:textId="77777777" w:rsidR="005F769D" w:rsidRPr="009774A6" w:rsidRDefault="005F769D" w:rsidP="005F769D">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822025">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p>
          <w:p w14:paraId="725D9A27" w14:textId="77777777" w:rsidR="005F769D" w:rsidRDefault="005F769D" w:rsidP="005F769D">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6846F19" w14:textId="77777777" w:rsidR="005F769D" w:rsidRDefault="005F769D" w:rsidP="005F769D">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21A6B899" w14:textId="77777777" w:rsidR="005F769D" w:rsidRDefault="005F769D" w:rsidP="005F769D">
            <w:pPr>
              <w:tabs>
                <w:tab w:val="left" w:pos="-720"/>
              </w:tabs>
              <w:suppressAutoHyphens/>
              <w:jc w:val="both"/>
              <w:rPr>
                <w:rFonts w:ascii="Arial" w:hAnsi="Arial" w:cs="Arial"/>
                <w:b/>
              </w:rPr>
            </w:pP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p>
          <w:p w14:paraId="140486FF" w14:textId="77777777" w:rsidR="005F769D" w:rsidRDefault="005F769D" w:rsidP="005F769D">
            <w:pPr>
              <w:tabs>
                <w:tab w:val="left" w:pos="-720"/>
              </w:tabs>
              <w:suppressAutoHyphens/>
              <w:jc w:val="both"/>
              <w:rPr>
                <w:rFonts w:ascii="Arial" w:hAnsi="Arial" w:cs="Arial"/>
                <w:b/>
              </w:rPr>
            </w:pPr>
          </w:p>
          <w:p w14:paraId="0CBBAE12" w14:textId="77777777" w:rsidR="005F769D" w:rsidRPr="000E5C6D" w:rsidRDefault="005F769D" w:rsidP="005F769D">
            <w:pPr>
              <w:tabs>
                <w:tab w:val="left" w:pos="-720"/>
              </w:tabs>
              <w:suppressAutoHyphens/>
              <w:jc w:val="both"/>
              <w:rPr>
                <w:rFonts w:ascii="Arial" w:hAnsi="Arial" w:cs="Arial"/>
              </w:rPr>
            </w:pPr>
            <w:r w:rsidRPr="000E5C6D">
              <w:rPr>
                <w:rFonts w:ascii="Arial" w:hAnsi="Arial" w:cs="Arial"/>
              </w:rPr>
              <w:t xml:space="preserve">Equality, Diversity and Inclusion is at the heart of what we do as a Council and the people we support. We have </w:t>
            </w:r>
            <w:proofErr w:type="gramStart"/>
            <w:r w:rsidRPr="000E5C6D">
              <w:rPr>
                <w:rFonts w:ascii="Arial" w:hAnsi="Arial" w:cs="Arial"/>
              </w:rPr>
              <w:t>a number of</w:t>
            </w:r>
            <w:proofErr w:type="gramEnd"/>
            <w:r w:rsidRPr="000E5C6D">
              <w:rPr>
                <w:rFonts w:ascii="Arial" w:hAnsi="Arial" w:cs="Arial"/>
              </w:rPr>
              <w:t xml:space="preserve"> self-directed Staff Networks (Disability, LGBTQ+, Race Equality, Women’s Voice, Working Carers and Young Persons) which assist in providing a voice and support mechanism to </w:t>
            </w:r>
            <w:proofErr w:type="gramStart"/>
            <w:r w:rsidRPr="000E5C6D">
              <w:rPr>
                <w:rFonts w:ascii="Arial" w:hAnsi="Arial" w:cs="Arial"/>
              </w:rPr>
              <w:t>colleagues</w:t>
            </w:r>
            <w:proofErr w:type="gramEnd"/>
            <w:r w:rsidRPr="000E5C6D">
              <w:rPr>
                <w:rFonts w:ascii="Arial" w:hAnsi="Arial" w:cs="Arial"/>
              </w:rPr>
              <w:t xml:space="preserve"> but we are always looking to further our ambition and commitment to achieving and supporting an inclusive workforce. One such example is enabling more direct ways of support amongst staff through the RESPECT Allyship Programme</w:t>
            </w:r>
          </w:p>
          <w:p w14:paraId="17119C51" w14:textId="77777777" w:rsidR="005F769D" w:rsidRPr="000E5C6D" w:rsidRDefault="005F769D" w:rsidP="005F769D">
            <w:pPr>
              <w:tabs>
                <w:tab w:val="left" w:pos="-720"/>
              </w:tabs>
              <w:suppressAutoHyphens/>
              <w:jc w:val="both"/>
              <w:rPr>
                <w:rFonts w:ascii="Arial" w:hAnsi="Arial" w:cs="Arial"/>
              </w:rPr>
            </w:pPr>
          </w:p>
          <w:p w14:paraId="19A6969C" w14:textId="77777777" w:rsidR="005F769D" w:rsidRPr="000E5C6D" w:rsidRDefault="005F769D" w:rsidP="005F769D">
            <w:pPr>
              <w:tabs>
                <w:tab w:val="left" w:pos="-720"/>
              </w:tabs>
              <w:suppressAutoHyphens/>
              <w:jc w:val="both"/>
              <w:rPr>
                <w:rFonts w:ascii="Arial" w:hAnsi="Arial" w:cs="Arial"/>
              </w:rPr>
            </w:pPr>
            <w:r w:rsidRPr="000E5C6D">
              <w:rPr>
                <w:rFonts w:ascii="Arial" w:hAnsi="Arial" w:cs="Arial"/>
              </w:rPr>
              <w:t xml:space="preserve">The RESPECT Allyship Programme offers the opportunity to all staff to learn more about the diverse communities &amp; </w:t>
            </w:r>
            <w:proofErr w:type="gramStart"/>
            <w:r w:rsidRPr="000E5C6D">
              <w:rPr>
                <w:rFonts w:ascii="Arial" w:hAnsi="Arial" w:cs="Arial"/>
              </w:rPr>
              <w:t>groups, and</w:t>
            </w:r>
            <w:proofErr w:type="gramEnd"/>
            <w:r w:rsidRPr="000E5C6D">
              <w:rPr>
                <w:rFonts w:ascii="Arial" w:hAnsi="Arial" w:cs="Arial"/>
              </w:rPr>
              <w:t xml:space="preserve"> provides additional benefits and resources to its members. This is part of the RESPECT Campaign, which is the Council’s Internal Equalities Vision for staff and its ambition to build a truly inclusive workforce, where everyone can be their true selves at work and people are and feel represented across all levels in the organisation. An Ally is someone who will speak up for others and champion their corner when they need it most.</w:t>
            </w:r>
          </w:p>
          <w:p w14:paraId="26ECA794" w14:textId="77777777" w:rsidR="005F769D" w:rsidRPr="000E5C6D" w:rsidRDefault="005F769D" w:rsidP="005F769D">
            <w:pPr>
              <w:tabs>
                <w:tab w:val="left" w:pos="-720"/>
              </w:tabs>
              <w:suppressAutoHyphens/>
              <w:jc w:val="both"/>
              <w:rPr>
                <w:rFonts w:ascii="Arial" w:hAnsi="Arial" w:cs="Arial"/>
              </w:rPr>
            </w:pPr>
          </w:p>
          <w:p w14:paraId="5FE5A87D" w14:textId="77777777" w:rsidR="005F769D" w:rsidRDefault="005F769D" w:rsidP="005F769D">
            <w:pPr>
              <w:tabs>
                <w:tab w:val="left" w:pos="-720"/>
              </w:tabs>
              <w:suppressAutoHyphens/>
              <w:jc w:val="both"/>
              <w:rPr>
                <w:rFonts w:ascii="Arial" w:hAnsi="Arial" w:cs="Arial"/>
              </w:rPr>
            </w:pPr>
            <w:r w:rsidRPr="000E5C6D">
              <w:rPr>
                <w:rFonts w:ascii="Arial" w:hAnsi="Arial" w:cs="Arial"/>
              </w:rPr>
              <w:t xml:space="preserve">As a Bradford employee we actively encourage employees to attend as many training events as possible hosted by the RESPECT programme on matters of EDI </w:t>
            </w:r>
            <w:proofErr w:type="gramStart"/>
            <w:r w:rsidRPr="000E5C6D">
              <w:rPr>
                <w:rFonts w:ascii="Arial" w:hAnsi="Arial" w:cs="Arial"/>
              </w:rPr>
              <w:t>in order to</w:t>
            </w:r>
            <w:proofErr w:type="gramEnd"/>
            <w:r w:rsidRPr="000E5C6D">
              <w:rPr>
                <w:rFonts w:ascii="Arial" w:hAnsi="Arial" w:cs="Arial"/>
              </w:rPr>
              <w:t xml:space="preserve"> support, champion &amp; educate themselves and any colleague who may belong to a different group or community.  </w:t>
            </w:r>
          </w:p>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4C4E49B0" w14:textId="77777777" w:rsidR="00BD4A7C" w:rsidRPr="00D3232C" w:rsidRDefault="00D26419" w:rsidP="00BD4A7C">
            <w:pPr>
              <w:jc w:val="both"/>
              <w:rPr>
                <w:rFonts w:ascii="Arial" w:hAnsi="Arial" w:cs="Arial"/>
              </w:rPr>
            </w:pPr>
            <w:r w:rsidRPr="00D26419">
              <w:rPr>
                <w:rFonts w:ascii="Arial" w:eastAsia="Times New Roman" w:hAnsi="Arial" w:cs="Arial"/>
                <w:color w:val="000000"/>
                <w:sz w:val="20"/>
                <w:szCs w:val="20"/>
                <w:lang w:eastAsia="en-GB"/>
              </w:rPr>
              <w:t xml:space="preserve"> </w:t>
            </w:r>
            <w:r w:rsidR="00BD4A7C" w:rsidRPr="00D3232C">
              <w:rPr>
                <w:rFonts w:ascii="Arial" w:hAnsi="Arial" w:cs="Arial"/>
              </w:rPr>
              <w:t>The post holder will provide strategic</w:t>
            </w:r>
            <w:r w:rsidR="00BD4A7C">
              <w:rPr>
                <w:rFonts w:ascii="Arial" w:hAnsi="Arial" w:cs="Arial"/>
              </w:rPr>
              <w:t xml:space="preserve"> and operational </w:t>
            </w:r>
            <w:r w:rsidR="00BD4A7C" w:rsidRPr="00D3232C">
              <w:rPr>
                <w:rFonts w:ascii="Arial" w:hAnsi="Arial" w:cs="Arial"/>
              </w:rPr>
              <w:t>leadership to achieve public health outcomes across all domains of public health (health pro</w:t>
            </w:r>
            <w:r w:rsidR="00BD4A7C">
              <w:rPr>
                <w:rFonts w:ascii="Arial" w:hAnsi="Arial" w:cs="Arial"/>
              </w:rPr>
              <w:t>t</w:t>
            </w:r>
            <w:r w:rsidR="00BD4A7C" w:rsidRPr="00D3232C">
              <w:rPr>
                <w:rFonts w:ascii="Arial" w:hAnsi="Arial" w:cs="Arial"/>
              </w:rPr>
              <w:t xml:space="preserve">ection, health improvement, wider determinants and healthcare public health) through the </w:t>
            </w:r>
            <w:proofErr w:type="gramStart"/>
            <w:r w:rsidR="00BD4A7C" w:rsidRPr="00D3232C">
              <w:rPr>
                <w:rFonts w:ascii="Arial" w:hAnsi="Arial" w:cs="Arial"/>
              </w:rPr>
              <w:t>development  and</w:t>
            </w:r>
            <w:proofErr w:type="gramEnd"/>
            <w:r w:rsidR="00BD4A7C" w:rsidRPr="00D3232C">
              <w:rPr>
                <w:rFonts w:ascii="Arial" w:hAnsi="Arial" w:cs="Arial"/>
              </w:rPr>
              <w:t xml:space="preserve"> implementation of evidence based public health </w:t>
            </w:r>
            <w:r w:rsidR="00BD4A7C">
              <w:rPr>
                <w:rFonts w:ascii="Arial" w:hAnsi="Arial" w:cs="Arial"/>
              </w:rPr>
              <w:t xml:space="preserve">services, </w:t>
            </w:r>
            <w:r w:rsidR="00BD4A7C" w:rsidRPr="00D3232C">
              <w:rPr>
                <w:rFonts w:ascii="Arial" w:hAnsi="Arial" w:cs="Arial"/>
              </w:rPr>
              <w:t>strategies and programmes.</w:t>
            </w:r>
          </w:p>
          <w:p w14:paraId="726DB28F" w14:textId="77777777" w:rsidR="00BD4A7C" w:rsidRPr="00D3232C" w:rsidRDefault="00BD4A7C" w:rsidP="00BD4A7C">
            <w:pPr>
              <w:rPr>
                <w:rFonts w:ascii="Arial" w:hAnsi="Arial" w:cs="Arial"/>
              </w:rPr>
            </w:pPr>
          </w:p>
          <w:p w14:paraId="75681F0B" w14:textId="77777777" w:rsidR="00BD4A7C" w:rsidRPr="00D3232C" w:rsidRDefault="00BD4A7C" w:rsidP="00BD4A7C">
            <w:pPr>
              <w:jc w:val="both"/>
              <w:rPr>
                <w:rFonts w:ascii="Arial" w:hAnsi="Arial" w:cs="Arial"/>
              </w:rPr>
            </w:pPr>
            <w:r w:rsidRPr="00D3232C">
              <w:rPr>
                <w:rFonts w:ascii="Arial" w:hAnsi="Arial" w:cs="Arial"/>
              </w:rPr>
              <w:t>They will work at a strategic level developing and maintaining effective relationships with partners across the local authority, NHS, voluntary &amp; community sector,</w:t>
            </w:r>
            <w:r>
              <w:rPr>
                <w:rFonts w:ascii="Arial" w:hAnsi="Arial" w:cs="Arial"/>
              </w:rPr>
              <w:t xml:space="preserve"> schools and educational settings, </w:t>
            </w:r>
            <w:proofErr w:type="spellStart"/>
            <w:r>
              <w:rPr>
                <w:rFonts w:ascii="Arial" w:hAnsi="Arial" w:cs="Arial"/>
              </w:rPr>
              <w:t>childrens</w:t>
            </w:r>
            <w:proofErr w:type="spellEnd"/>
            <w:r>
              <w:rPr>
                <w:rFonts w:ascii="Arial" w:hAnsi="Arial" w:cs="Arial"/>
              </w:rPr>
              <w:t xml:space="preserve"> trust,</w:t>
            </w:r>
            <w:r w:rsidRPr="00D3232C">
              <w:rPr>
                <w:rFonts w:ascii="Arial" w:hAnsi="Arial" w:cs="Arial"/>
              </w:rPr>
              <w:t xml:space="preserve"> and academic partners, to improve outcomes for local people, and reduce inequalities.</w:t>
            </w:r>
          </w:p>
          <w:p w14:paraId="367BD605" w14:textId="77777777" w:rsidR="00BD4A7C" w:rsidRPr="00D3232C" w:rsidRDefault="00BD4A7C" w:rsidP="00BD4A7C">
            <w:pPr>
              <w:rPr>
                <w:rFonts w:ascii="Arial" w:hAnsi="Arial" w:cs="Arial"/>
              </w:rPr>
            </w:pPr>
          </w:p>
          <w:p w14:paraId="47CE3C62" w14:textId="77777777" w:rsidR="00BD4A7C" w:rsidRDefault="00BD4A7C" w:rsidP="00BD4A7C">
            <w:pPr>
              <w:jc w:val="both"/>
              <w:rPr>
                <w:rFonts w:ascii="Arial" w:hAnsi="Arial" w:cs="Arial"/>
              </w:rPr>
            </w:pPr>
            <w:r w:rsidRPr="00D3232C">
              <w:rPr>
                <w:rFonts w:ascii="Arial" w:hAnsi="Arial" w:cs="Arial"/>
              </w:rPr>
              <w:t>They will provide public health expertise in the form of evidence, need, priority setting, and evaluation, to promote a health in all policies approach, ensuring that public health outcomes are embedded in all relevant council, NHS, and partners plans, strategies</w:t>
            </w:r>
            <w:r>
              <w:rPr>
                <w:rFonts w:ascii="Arial" w:hAnsi="Arial" w:cs="Arial"/>
              </w:rPr>
              <w:t>, services</w:t>
            </w:r>
            <w:r w:rsidRPr="00D3232C">
              <w:rPr>
                <w:rFonts w:ascii="Arial" w:hAnsi="Arial" w:cs="Arial"/>
              </w:rPr>
              <w:t xml:space="preserve"> and commissioning activities.</w:t>
            </w:r>
          </w:p>
          <w:p w14:paraId="3597F890" w14:textId="4DEF48C7"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2011F7">
        <w:trPr>
          <w:trHeight w:val="843"/>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93A63" w:rsidRDefault="00C93A63" w:rsidP="00C93A63">
            <w:pPr>
              <w:spacing w:after="0" w:line="240" w:lineRule="auto"/>
              <w:ind w:left="360"/>
              <w:rPr>
                <w:rFonts w:ascii="Arial" w:eastAsia="Times New Roman" w:hAnsi="Arial" w:cs="Arial"/>
                <w:color w:val="000000"/>
                <w:sz w:val="20"/>
                <w:szCs w:val="20"/>
                <w:lang w:eastAsia="en-GB"/>
              </w:rPr>
            </w:pPr>
          </w:p>
          <w:p w14:paraId="63807584"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participate in the development and effectiveness of strategic, commissioning and planning partnerships, across systems and sectors to improve health, protect health and reduce inequalities</w:t>
            </w:r>
          </w:p>
          <w:p w14:paraId="522944A9"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use public health tools and techniques to assess the health and wellbeing needs of the population, and to evaluate the effectiveness of local plans, projects and services.</w:t>
            </w:r>
          </w:p>
          <w:p w14:paraId="143BDCF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oversee the development, management and implementation of public health programmes, strategies and action plans to improve outcomes and reduce inequalities.</w:t>
            </w:r>
          </w:p>
          <w:p w14:paraId="5798B3D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w:t>
            </w:r>
            <w:proofErr w:type="spellStart"/>
            <w:r w:rsidRPr="00D3232C">
              <w:rPr>
                <w:rFonts w:ascii="Arial" w:hAnsi="Arial" w:cs="Arial"/>
              </w:rPr>
              <w:t>anayse</w:t>
            </w:r>
            <w:proofErr w:type="spellEnd"/>
            <w:r w:rsidRPr="00D3232C">
              <w:rPr>
                <w:rFonts w:ascii="Arial" w:hAnsi="Arial" w:cs="Arial"/>
              </w:rPr>
              <w:t>, interpret, and translate evidence and intelligence into practice to inform priorities, strategies, plans, and commissioned services.</w:t>
            </w:r>
          </w:p>
          <w:p w14:paraId="18381D38"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lead a range of health and service improvement projects to identify and address </w:t>
            </w:r>
            <w:proofErr w:type="gramStart"/>
            <w:r w:rsidRPr="00D3232C">
              <w:rPr>
                <w:rFonts w:ascii="Arial" w:hAnsi="Arial" w:cs="Arial"/>
              </w:rPr>
              <w:t>inequalities, and</w:t>
            </w:r>
            <w:proofErr w:type="gramEnd"/>
            <w:r w:rsidRPr="00D3232C">
              <w:rPr>
                <w:rFonts w:ascii="Arial" w:hAnsi="Arial" w:cs="Arial"/>
              </w:rPr>
              <w:t xml:space="preserve"> ensure they reach the populations with the worst health outcomes.</w:t>
            </w:r>
          </w:p>
          <w:p w14:paraId="3BC5A63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keep up to date with relevant public health policy and </w:t>
            </w:r>
            <w:proofErr w:type="gramStart"/>
            <w:r w:rsidRPr="00D3232C">
              <w:rPr>
                <w:rFonts w:ascii="Arial" w:hAnsi="Arial" w:cs="Arial"/>
              </w:rPr>
              <w:t>practice, and</w:t>
            </w:r>
            <w:proofErr w:type="gramEnd"/>
            <w:r w:rsidRPr="00D3232C">
              <w:rPr>
                <w:rFonts w:ascii="Arial" w:hAnsi="Arial" w:cs="Arial"/>
              </w:rPr>
              <w:t xml:space="preserve"> implement any changes where appropriate to improve outcomes for local people.</w:t>
            </w:r>
          </w:p>
          <w:p w14:paraId="288660A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To provide public expertise to commissioners and partners, ensuring that commissioned services are evidence based and help to improve the health/protect the health of the population (this includes evidence reviews, policy analysis, health equity audits, and health needs assessment).</w:t>
            </w:r>
          </w:p>
          <w:p w14:paraId="4636A3E2"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contribute </w:t>
            </w:r>
            <w:proofErr w:type="gramStart"/>
            <w:r w:rsidRPr="00D3232C">
              <w:rPr>
                <w:rFonts w:ascii="Arial" w:hAnsi="Arial" w:cs="Arial"/>
              </w:rPr>
              <w:t>to, and</w:t>
            </w:r>
            <w:proofErr w:type="gramEnd"/>
            <w:r w:rsidRPr="00D3232C">
              <w:rPr>
                <w:rFonts w:ascii="Arial" w:hAnsi="Arial" w:cs="Arial"/>
              </w:rPr>
              <w:t xml:space="preserve"> support a learning culture across the Public Health team, supporting the development of staff.</w:t>
            </w:r>
          </w:p>
          <w:p w14:paraId="3939FE4D"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lead aspects </w:t>
            </w:r>
            <w:proofErr w:type="gramStart"/>
            <w:r w:rsidRPr="00D3232C">
              <w:rPr>
                <w:rFonts w:ascii="Arial" w:hAnsi="Arial" w:cs="Arial"/>
              </w:rPr>
              <w:t>of, and</w:t>
            </w:r>
            <w:proofErr w:type="gramEnd"/>
            <w:r w:rsidRPr="00D3232C">
              <w:rPr>
                <w:rFonts w:ascii="Arial" w:hAnsi="Arial" w:cs="Arial"/>
              </w:rPr>
              <w:t xml:space="preserve"> contribute to the commissioning and performance management of interventions and services to achieve key public health priorities on behalf of organisations and partnerships.</w:t>
            </w:r>
          </w:p>
          <w:p w14:paraId="00DDAAB7"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lead and manage successful change through </w:t>
            </w:r>
            <w:proofErr w:type="gramStart"/>
            <w:r w:rsidRPr="00D3232C">
              <w:rPr>
                <w:rFonts w:ascii="Arial" w:hAnsi="Arial" w:cs="Arial"/>
              </w:rPr>
              <w:t>evidence based</w:t>
            </w:r>
            <w:proofErr w:type="gramEnd"/>
            <w:r w:rsidRPr="00D3232C">
              <w:rPr>
                <w:rFonts w:ascii="Arial" w:hAnsi="Arial" w:cs="Arial"/>
              </w:rPr>
              <w:t xml:space="preserve"> approaches including project, change and performance management, ensuring, where appropriate, effective engagement of key stakeholders throughout the process.</w:t>
            </w:r>
          </w:p>
          <w:p w14:paraId="52EAE0AE"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Manage effectively public health resources, including relevant Public Health budgets and staff appropriate to the agreed departmental portfolios.</w:t>
            </w:r>
          </w:p>
          <w:p w14:paraId="17BA67E1"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Ensure that insight about target audiences and local communities views informs the design and commissioning of interventions and services (co-design</w:t>
            </w:r>
            <w:proofErr w:type="gramStart"/>
            <w:r w:rsidRPr="00D3232C">
              <w:rPr>
                <w:rFonts w:ascii="Arial" w:hAnsi="Arial" w:cs="Arial"/>
              </w:rPr>
              <w:t>);</w:t>
            </w:r>
            <w:proofErr w:type="gramEnd"/>
          </w:p>
          <w:p w14:paraId="652FDA8F"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Work with partners to design and deliver innovative service and health improvement projects, embedding a culture of continuous evaluation to improve quality, outcomes, and value for money.</w:t>
            </w:r>
          </w:p>
          <w:p w14:paraId="77E08626" w14:textId="77777777" w:rsidR="002011F7" w:rsidRPr="00D3232C" w:rsidRDefault="002011F7" w:rsidP="002011F7">
            <w:pPr>
              <w:numPr>
                <w:ilvl w:val="0"/>
                <w:numId w:val="5"/>
              </w:numPr>
              <w:spacing w:after="0" w:line="240" w:lineRule="auto"/>
              <w:ind w:right="-6"/>
              <w:jc w:val="both"/>
              <w:rPr>
                <w:rFonts w:ascii="Arial" w:hAnsi="Arial" w:cs="Arial"/>
              </w:rPr>
            </w:pPr>
            <w:r w:rsidRPr="00D3232C">
              <w:rPr>
                <w:rFonts w:ascii="Arial" w:hAnsi="Arial" w:cs="Arial"/>
              </w:rPr>
              <w:t xml:space="preserve">To develop and </w:t>
            </w:r>
            <w:proofErr w:type="spellStart"/>
            <w:r w:rsidRPr="00D3232C">
              <w:rPr>
                <w:rFonts w:ascii="Arial" w:hAnsi="Arial" w:cs="Arial"/>
              </w:rPr>
              <w:t>nuture</w:t>
            </w:r>
            <w:proofErr w:type="spellEnd"/>
            <w:r w:rsidRPr="00D3232C">
              <w:rPr>
                <w:rFonts w:ascii="Arial" w:hAnsi="Arial" w:cs="Arial"/>
              </w:rPr>
              <w:t xml:space="preserve"> effective working relationships across the health and care system, including (but not restricted to) the local authority, NHS commissioners, providers of health and care services, </w:t>
            </w:r>
            <w:r>
              <w:rPr>
                <w:rFonts w:ascii="Arial" w:hAnsi="Arial" w:cs="Arial"/>
              </w:rPr>
              <w:t>OHID</w:t>
            </w:r>
            <w:r w:rsidRPr="00D3232C">
              <w:rPr>
                <w:rFonts w:ascii="Arial" w:hAnsi="Arial" w:cs="Arial"/>
              </w:rPr>
              <w:t>, academic partners, the voluntary and community sector</w:t>
            </w:r>
            <w:r>
              <w:rPr>
                <w:rFonts w:ascii="Arial" w:hAnsi="Arial" w:cs="Arial"/>
              </w:rPr>
              <w:t xml:space="preserve">, schools and educational establishments and the Bradford </w:t>
            </w:r>
            <w:proofErr w:type="spellStart"/>
            <w:r>
              <w:rPr>
                <w:rFonts w:ascii="Arial" w:hAnsi="Arial" w:cs="Arial"/>
              </w:rPr>
              <w:t>childrens</w:t>
            </w:r>
            <w:proofErr w:type="spellEnd"/>
            <w:r>
              <w:rPr>
                <w:rFonts w:ascii="Arial" w:hAnsi="Arial" w:cs="Arial"/>
              </w:rPr>
              <w:t xml:space="preserve"> trust. </w:t>
            </w:r>
          </w:p>
          <w:p w14:paraId="7B8756B6" w14:textId="77777777" w:rsidR="002011F7" w:rsidRDefault="002011F7" w:rsidP="002011F7">
            <w:pPr>
              <w:numPr>
                <w:ilvl w:val="0"/>
                <w:numId w:val="5"/>
              </w:numPr>
              <w:spacing w:after="0" w:line="240" w:lineRule="auto"/>
              <w:ind w:right="-6"/>
              <w:jc w:val="both"/>
              <w:rPr>
                <w:rFonts w:ascii="Arial" w:hAnsi="Arial" w:cs="Arial"/>
              </w:rPr>
            </w:pPr>
            <w:r w:rsidRPr="00D3232C">
              <w:rPr>
                <w:rFonts w:ascii="Arial" w:hAnsi="Arial" w:cs="Arial"/>
              </w:rPr>
              <w:t>Work across any area of public health depending on the needs and priorities of the public health team.</w:t>
            </w:r>
          </w:p>
          <w:p w14:paraId="765CA973" w14:textId="5305DABC" w:rsidR="00A9477A" w:rsidRPr="005544AA" w:rsidRDefault="00A9477A" w:rsidP="005544AA">
            <w:pPr>
              <w:spacing w:after="0" w:line="240" w:lineRule="auto"/>
              <w:ind w:left="360"/>
              <w:rPr>
                <w:rFonts w:ascii="Arial" w:eastAsia="Times New Roman" w:hAnsi="Arial" w:cs="Arial"/>
                <w:color w:val="000000"/>
                <w:sz w:val="18"/>
                <w:szCs w:val="18"/>
                <w:lang w:eastAsia="en-GB"/>
              </w:rPr>
            </w:pP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A9477A" w:rsidRDefault="00A9477A" w:rsidP="00A9477A">
            <w:pPr>
              <w:spacing w:after="0" w:line="240" w:lineRule="auto"/>
              <w:rPr>
                <w:rFonts w:ascii="Arial" w:eastAsia="Times New Roman" w:hAnsi="Arial" w:cs="Arial"/>
                <w:color w:val="000000"/>
                <w:sz w:val="18"/>
                <w:szCs w:val="18"/>
                <w:lang w:eastAsia="en-GB"/>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8"/>
              <w:gridCol w:w="2040"/>
              <w:gridCol w:w="120"/>
            </w:tblGrid>
            <w:tr w:rsidR="007F0263" w:rsidRPr="00621F43" w14:paraId="019C3BBF" w14:textId="77777777" w:rsidTr="004A1982">
              <w:tc>
                <w:tcPr>
                  <w:tcW w:w="7548" w:type="dxa"/>
                </w:tcPr>
                <w:p w14:paraId="355A8215" w14:textId="77777777" w:rsidR="007F0263" w:rsidRPr="00621F43" w:rsidRDefault="007F0263" w:rsidP="007F0263">
                  <w:pPr>
                    <w:ind w:right="-6"/>
                    <w:rPr>
                      <w:rFonts w:ascii="Arial" w:hAnsi="Arial"/>
                      <w:color w:val="000000"/>
                    </w:rPr>
                  </w:pPr>
                </w:p>
              </w:tc>
              <w:tc>
                <w:tcPr>
                  <w:tcW w:w="2160" w:type="dxa"/>
                  <w:gridSpan w:val="2"/>
                </w:tcPr>
                <w:p w14:paraId="6C3D2AB4" w14:textId="77777777" w:rsidR="007F0263" w:rsidRPr="00621F43" w:rsidRDefault="007F0263" w:rsidP="007F0263">
                  <w:pPr>
                    <w:ind w:right="-6"/>
                    <w:rPr>
                      <w:rFonts w:ascii="Arial" w:hAnsi="Arial" w:cs="Arial"/>
                      <w:b/>
                    </w:rPr>
                  </w:pPr>
                  <w:r w:rsidRPr="00621F43">
                    <w:rPr>
                      <w:rFonts w:ascii="Arial" w:hAnsi="Arial" w:cs="Arial"/>
                      <w:b/>
                    </w:rPr>
                    <w:t>Essential</w:t>
                  </w:r>
                </w:p>
              </w:tc>
            </w:tr>
            <w:tr w:rsidR="007F0263" w:rsidRPr="00D3232C" w14:paraId="5E20E8F2" w14:textId="77777777" w:rsidTr="004A1982">
              <w:tc>
                <w:tcPr>
                  <w:tcW w:w="7548" w:type="dxa"/>
                </w:tcPr>
                <w:p w14:paraId="61ACC7B5" w14:textId="77777777" w:rsidR="007F0263" w:rsidRPr="00D3232C" w:rsidRDefault="007F0263" w:rsidP="007F0263">
                  <w:pPr>
                    <w:ind w:right="-6"/>
                    <w:jc w:val="both"/>
                    <w:rPr>
                      <w:rFonts w:ascii="Arial" w:hAnsi="Arial" w:cs="Arial"/>
                    </w:rPr>
                  </w:pPr>
                  <w:r w:rsidRPr="00D3232C">
                    <w:rPr>
                      <w:rFonts w:ascii="Arial" w:hAnsi="Arial" w:cs="Arial"/>
                    </w:rPr>
                    <w:t>Understanding of the social and political environment, including decision-making processes in the local authority and relevant partner organisations</w:t>
                  </w:r>
                </w:p>
                <w:p w14:paraId="3C7642DF" w14:textId="77777777" w:rsidR="007F0263" w:rsidRPr="00D3232C" w:rsidRDefault="007F0263" w:rsidP="007F0263">
                  <w:pPr>
                    <w:ind w:right="-6"/>
                    <w:jc w:val="both"/>
                    <w:rPr>
                      <w:rFonts w:ascii="Arial" w:hAnsi="Arial"/>
                    </w:rPr>
                  </w:pPr>
                </w:p>
              </w:tc>
              <w:tc>
                <w:tcPr>
                  <w:tcW w:w="2160" w:type="dxa"/>
                  <w:gridSpan w:val="2"/>
                </w:tcPr>
                <w:p w14:paraId="1FF03B5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2453F439" w14:textId="77777777" w:rsidTr="004A1982">
              <w:tc>
                <w:tcPr>
                  <w:tcW w:w="7548" w:type="dxa"/>
                </w:tcPr>
                <w:p w14:paraId="2F95672E" w14:textId="77777777" w:rsidR="007F0263" w:rsidRPr="00D3232C" w:rsidRDefault="007F0263" w:rsidP="007F0263">
                  <w:pPr>
                    <w:ind w:right="-6"/>
                    <w:jc w:val="both"/>
                    <w:rPr>
                      <w:rFonts w:ascii="Arial" w:hAnsi="Arial" w:cs="Arial"/>
                    </w:rPr>
                  </w:pPr>
                  <w:r w:rsidRPr="00D3232C">
                    <w:rPr>
                      <w:rFonts w:ascii="Arial" w:hAnsi="Arial" w:cs="Arial"/>
                    </w:rPr>
                    <w:t>Knowledge of current public health policy, including an understanding of health inequalities and the social, economic and environmental determinants of health</w:t>
                  </w:r>
                </w:p>
                <w:p w14:paraId="11A40C55" w14:textId="77777777" w:rsidR="007F0263" w:rsidRPr="00D3232C" w:rsidRDefault="007F0263" w:rsidP="007F0263">
                  <w:pPr>
                    <w:ind w:right="-6"/>
                    <w:jc w:val="both"/>
                    <w:rPr>
                      <w:rFonts w:ascii="Arial" w:hAnsi="Arial" w:cs="Arial"/>
                    </w:rPr>
                  </w:pPr>
                </w:p>
              </w:tc>
              <w:tc>
                <w:tcPr>
                  <w:tcW w:w="2160" w:type="dxa"/>
                  <w:gridSpan w:val="2"/>
                </w:tcPr>
                <w:p w14:paraId="5D79CA5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7FE60B06" w14:textId="77777777" w:rsidTr="004A1982">
              <w:tc>
                <w:tcPr>
                  <w:tcW w:w="7548" w:type="dxa"/>
                </w:tcPr>
                <w:p w14:paraId="43CD0446" w14:textId="77777777" w:rsidR="007F0263" w:rsidRPr="00D3232C" w:rsidRDefault="007F0263" w:rsidP="007F0263">
                  <w:pPr>
                    <w:ind w:right="-6"/>
                    <w:jc w:val="both"/>
                    <w:rPr>
                      <w:rFonts w:ascii="Arial" w:hAnsi="Arial" w:cs="Arial"/>
                    </w:rPr>
                  </w:pPr>
                  <w:r w:rsidRPr="00D3232C">
                    <w:rPr>
                      <w:rFonts w:ascii="Arial" w:hAnsi="Arial" w:cs="Arial"/>
                    </w:rPr>
                    <w:t>Knowledge and understanding of approaches to the assessment of health and wellbeing needs, healthcare utilisation and outcomes, and the evaluation of public health interventions.</w:t>
                  </w:r>
                </w:p>
              </w:tc>
              <w:tc>
                <w:tcPr>
                  <w:tcW w:w="2160" w:type="dxa"/>
                  <w:gridSpan w:val="2"/>
                </w:tcPr>
                <w:p w14:paraId="2B29DBE8"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692E3F27" w14:textId="77777777" w:rsidTr="004A1982">
              <w:tc>
                <w:tcPr>
                  <w:tcW w:w="7548" w:type="dxa"/>
                </w:tcPr>
                <w:p w14:paraId="3741EAC7" w14:textId="77777777" w:rsidR="007F0263" w:rsidRPr="00D3232C" w:rsidRDefault="007F0263" w:rsidP="007F0263">
                  <w:pPr>
                    <w:ind w:right="-6"/>
                    <w:jc w:val="both"/>
                    <w:rPr>
                      <w:rFonts w:ascii="Arial" w:hAnsi="Arial" w:cs="Arial"/>
                    </w:rPr>
                  </w:pPr>
                  <w:r w:rsidRPr="00D3232C">
                    <w:rPr>
                      <w:rFonts w:ascii="Arial" w:hAnsi="Arial" w:cs="Arial"/>
                    </w:rPr>
                    <w:t>Knowledge and understanding of methods and approaches to support individual, cultural and organisational behaviour change</w:t>
                  </w:r>
                </w:p>
                <w:p w14:paraId="76D8A909" w14:textId="77777777" w:rsidR="007F0263" w:rsidRPr="00D3232C" w:rsidRDefault="007F0263" w:rsidP="007F0263">
                  <w:pPr>
                    <w:ind w:right="-6"/>
                    <w:rPr>
                      <w:rFonts w:ascii="Arial" w:hAnsi="Arial" w:cs="Arial"/>
                    </w:rPr>
                  </w:pPr>
                </w:p>
              </w:tc>
              <w:tc>
                <w:tcPr>
                  <w:tcW w:w="2160" w:type="dxa"/>
                  <w:gridSpan w:val="2"/>
                </w:tcPr>
                <w:p w14:paraId="70D9A8D1"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432C9E14" w14:textId="77777777" w:rsidTr="004A1982">
              <w:tc>
                <w:tcPr>
                  <w:tcW w:w="7548" w:type="dxa"/>
                </w:tcPr>
                <w:p w14:paraId="2E39A44B" w14:textId="77777777" w:rsidR="007F0263" w:rsidRPr="00D3232C" w:rsidRDefault="007F0263" w:rsidP="007F0263">
                  <w:pPr>
                    <w:ind w:right="-6"/>
                    <w:jc w:val="both"/>
                    <w:rPr>
                      <w:rFonts w:ascii="Arial" w:hAnsi="Arial" w:cs="Arial"/>
                    </w:rPr>
                  </w:pPr>
                  <w:r w:rsidRPr="00D3232C">
                    <w:rPr>
                      <w:rFonts w:ascii="Arial" w:hAnsi="Arial" w:cs="Arial"/>
                    </w:rPr>
                    <w:t>Able to prioritise work, schedule and organise own time to meet deadlines</w:t>
                  </w:r>
                </w:p>
                <w:p w14:paraId="7460A503" w14:textId="77777777" w:rsidR="007F0263" w:rsidRPr="00D3232C" w:rsidRDefault="007F0263" w:rsidP="007F0263">
                  <w:pPr>
                    <w:ind w:right="-6"/>
                    <w:rPr>
                      <w:rFonts w:ascii="Arial" w:hAnsi="Arial" w:cs="Arial"/>
                    </w:rPr>
                  </w:pPr>
                </w:p>
              </w:tc>
              <w:tc>
                <w:tcPr>
                  <w:tcW w:w="2160" w:type="dxa"/>
                  <w:gridSpan w:val="2"/>
                </w:tcPr>
                <w:p w14:paraId="3AA76724"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13C3A841" w14:textId="77777777" w:rsidTr="004A1982">
              <w:tc>
                <w:tcPr>
                  <w:tcW w:w="7548" w:type="dxa"/>
                </w:tcPr>
                <w:p w14:paraId="21B9427B" w14:textId="77777777" w:rsidR="007F0263" w:rsidRPr="00D3232C" w:rsidRDefault="007F0263" w:rsidP="007F0263">
                  <w:pPr>
                    <w:ind w:right="-6"/>
                    <w:jc w:val="both"/>
                    <w:rPr>
                      <w:rFonts w:ascii="Arial" w:hAnsi="Arial" w:cs="Arial"/>
                    </w:rPr>
                  </w:pPr>
                  <w:r w:rsidRPr="00D3232C">
                    <w:rPr>
                      <w:rFonts w:ascii="Arial" w:hAnsi="Arial" w:cs="Arial"/>
                    </w:rPr>
                    <w:t>Able to provide direction,</w:t>
                  </w:r>
                  <w:r>
                    <w:rPr>
                      <w:rFonts w:ascii="Arial" w:hAnsi="Arial" w:cs="Arial"/>
                    </w:rPr>
                    <w:t xml:space="preserve"> management and leadership of </w:t>
                  </w:r>
                  <w:r w:rsidRPr="00D3232C">
                    <w:rPr>
                      <w:rFonts w:ascii="Arial" w:hAnsi="Arial" w:cs="Arial"/>
                    </w:rPr>
                    <w:t xml:space="preserve">a team of public health </w:t>
                  </w:r>
                  <w:r>
                    <w:rPr>
                      <w:rFonts w:ascii="Arial" w:hAnsi="Arial" w:cs="Arial"/>
                    </w:rPr>
                    <w:t>staff.</w:t>
                  </w:r>
                </w:p>
                <w:p w14:paraId="5B381AA9" w14:textId="77777777" w:rsidR="007F0263" w:rsidRPr="00D3232C" w:rsidRDefault="007F0263" w:rsidP="007F0263">
                  <w:pPr>
                    <w:ind w:right="-6"/>
                    <w:rPr>
                      <w:rFonts w:ascii="Arial" w:hAnsi="Arial" w:cs="Arial"/>
                    </w:rPr>
                  </w:pPr>
                </w:p>
              </w:tc>
              <w:tc>
                <w:tcPr>
                  <w:tcW w:w="2160" w:type="dxa"/>
                  <w:gridSpan w:val="2"/>
                </w:tcPr>
                <w:p w14:paraId="1263A528"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ADD1529" w14:textId="77777777" w:rsidTr="004A1982">
              <w:tc>
                <w:tcPr>
                  <w:tcW w:w="7548" w:type="dxa"/>
                </w:tcPr>
                <w:p w14:paraId="541A8C58" w14:textId="77777777" w:rsidR="007F0263" w:rsidRPr="00D3232C" w:rsidRDefault="007F0263" w:rsidP="007F0263">
                  <w:pPr>
                    <w:ind w:right="-6"/>
                    <w:jc w:val="both"/>
                    <w:rPr>
                      <w:rFonts w:ascii="Arial" w:hAnsi="Arial" w:cs="Arial"/>
                    </w:rPr>
                  </w:pPr>
                  <w:r w:rsidRPr="00D3232C">
                    <w:rPr>
                      <w:rFonts w:ascii="Arial" w:hAnsi="Arial" w:cs="Arial"/>
                    </w:rPr>
                    <w:t>Good oral and written communication skills and an ability to work with a wide range of internal and external stakeholders</w:t>
                  </w:r>
                </w:p>
                <w:p w14:paraId="1986F7CB" w14:textId="77777777" w:rsidR="007F0263" w:rsidRPr="00D3232C" w:rsidRDefault="007F0263" w:rsidP="007F0263">
                  <w:pPr>
                    <w:ind w:right="-6"/>
                    <w:rPr>
                      <w:rFonts w:ascii="Arial" w:hAnsi="Arial" w:cs="Arial"/>
                    </w:rPr>
                  </w:pPr>
                </w:p>
              </w:tc>
              <w:tc>
                <w:tcPr>
                  <w:tcW w:w="2160" w:type="dxa"/>
                  <w:gridSpan w:val="2"/>
                </w:tcPr>
                <w:p w14:paraId="69DCE8D5"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00B9AE7B" w14:textId="77777777" w:rsidTr="004A1982">
              <w:tc>
                <w:tcPr>
                  <w:tcW w:w="7548" w:type="dxa"/>
                </w:tcPr>
                <w:p w14:paraId="6E81A14E" w14:textId="77777777" w:rsidR="007F0263" w:rsidRPr="00D3232C" w:rsidRDefault="007F0263" w:rsidP="007F0263">
                  <w:pPr>
                    <w:ind w:right="-6"/>
                    <w:jc w:val="both"/>
                    <w:rPr>
                      <w:rFonts w:ascii="Arial" w:hAnsi="Arial" w:cs="Arial"/>
                    </w:rPr>
                  </w:pPr>
                  <w:r w:rsidRPr="00D3232C">
                    <w:rPr>
                      <w:rFonts w:ascii="Arial" w:hAnsi="Arial" w:cs="Arial"/>
                    </w:rPr>
                    <w:t>Uses, interprets and communicates complex information from a variety of sources and to a range of audiences</w:t>
                  </w:r>
                  <w:r>
                    <w:rPr>
                      <w:rFonts w:ascii="Arial" w:hAnsi="Arial" w:cs="Arial"/>
                    </w:rPr>
                    <w:t>, including children and young people</w:t>
                  </w:r>
                </w:p>
                <w:p w14:paraId="7E161E40" w14:textId="77777777" w:rsidR="007F0263" w:rsidRPr="00D3232C" w:rsidRDefault="007F0263" w:rsidP="007F0263">
                  <w:pPr>
                    <w:ind w:right="-6"/>
                    <w:rPr>
                      <w:rFonts w:ascii="Arial" w:hAnsi="Arial" w:cs="Arial"/>
                    </w:rPr>
                  </w:pPr>
                </w:p>
              </w:tc>
              <w:tc>
                <w:tcPr>
                  <w:tcW w:w="2160" w:type="dxa"/>
                  <w:gridSpan w:val="2"/>
                </w:tcPr>
                <w:p w14:paraId="31937343"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DEB2171" w14:textId="77777777" w:rsidTr="004A1982">
              <w:tc>
                <w:tcPr>
                  <w:tcW w:w="7548" w:type="dxa"/>
                </w:tcPr>
                <w:p w14:paraId="6E674FB1" w14:textId="77777777" w:rsidR="007F0263" w:rsidRPr="00D3232C" w:rsidRDefault="007F0263" w:rsidP="007F0263">
                  <w:pPr>
                    <w:ind w:right="-6"/>
                    <w:jc w:val="both"/>
                    <w:rPr>
                      <w:rFonts w:ascii="Arial" w:hAnsi="Arial"/>
                    </w:rPr>
                  </w:pPr>
                  <w:r w:rsidRPr="00D3232C">
                    <w:rPr>
                      <w:rFonts w:ascii="Arial" w:hAnsi="Arial"/>
                    </w:rPr>
                    <w:t>Able to interpret and translate evidence and policies into public health strategy and action plans within health and care partnership arrangements.</w:t>
                  </w:r>
                </w:p>
                <w:p w14:paraId="0C691D2F" w14:textId="77777777" w:rsidR="007F0263" w:rsidRPr="00D3232C" w:rsidRDefault="007F0263" w:rsidP="007F0263">
                  <w:pPr>
                    <w:ind w:right="-6"/>
                    <w:rPr>
                      <w:rFonts w:ascii="Arial" w:hAnsi="Arial" w:cs="Arial"/>
                    </w:rPr>
                  </w:pPr>
                </w:p>
              </w:tc>
              <w:tc>
                <w:tcPr>
                  <w:tcW w:w="2160" w:type="dxa"/>
                  <w:gridSpan w:val="2"/>
                </w:tcPr>
                <w:p w14:paraId="37915809"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261E3DF5" w14:textId="77777777" w:rsidTr="004A1982">
              <w:tc>
                <w:tcPr>
                  <w:tcW w:w="7548" w:type="dxa"/>
                </w:tcPr>
                <w:p w14:paraId="206ED387" w14:textId="77777777" w:rsidR="007F0263" w:rsidRPr="00D3232C" w:rsidRDefault="007F0263" w:rsidP="007F0263">
                  <w:pPr>
                    <w:ind w:right="-6"/>
                    <w:jc w:val="both"/>
                    <w:rPr>
                      <w:rFonts w:ascii="Arial" w:hAnsi="Arial"/>
                    </w:rPr>
                  </w:pPr>
                  <w:r w:rsidRPr="00D3232C">
                    <w:rPr>
                      <w:rFonts w:ascii="Arial" w:hAnsi="Arial"/>
                    </w:rPr>
                    <w:t>Ability to manage a budget, keeping costs within agreed levels for own work area and contribute to corporate savings where required.</w:t>
                  </w:r>
                </w:p>
                <w:p w14:paraId="56B5B5F6" w14:textId="77777777" w:rsidR="007F0263" w:rsidRPr="00D3232C" w:rsidRDefault="007F0263" w:rsidP="007F0263">
                  <w:pPr>
                    <w:ind w:right="-6"/>
                    <w:rPr>
                      <w:rFonts w:ascii="Arial" w:hAnsi="Arial" w:cs="Arial"/>
                    </w:rPr>
                  </w:pPr>
                </w:p>
              </w:tc>
              <w:tc>
                <w:tcPr>
                  <w:tcW w:w="2160" w:type="dxa"/>
                  <w:gridSpan w:val="2"/>
                </w:tcPr>
                <w:p w14:paraId="141288FE" w14:textId="77777777" w:rsidR="007F0263" w:rsidRPr="00D3232C" w:rsidRDefault="007F0263" w:rsidP="007F0263">
                  <w:pPr>
                    <w:ind w:right="-6"/>
                    <w:rPr>
                      <w:rFonts w:ascii="Arial" w:hAnsi="Arial" w:cs="Arial"/>
                    </w:rPr>
                  </w:pPr>
                  <w:r w:rsidRPr="00D3232C">
                    <w:rPr>
                      <w:rFonts w:ascii="Arial" w:hAnsi="Arial" w:cs="Arial"/>
                    </w:rPr>
                    <w:t>X</w:t>
                  </w:r>
                </w:p>
              </w:tc>
            </w:tr>
            <w:tr w:rsidR="007F0263" w:rsidRPr="00D3232C" w14:paraId="57A2379F" w14:textId="77777777" w:rsidTr="004A1982">
              <w:tblPrEx>
                <w:shd w:val="clear" w:color="auto" w:fill="FFFFFF"/>
              </w:tblPrEx>
              <w:trPr>
                <w:gridAfter w:val="1"/>
                <w:wAfter w:w="120" w:type="dxa"/>
              </w:trPr>
              <w:tc>
                <w:tcPr>
                  <w:tcW w:w="9588" w:type="dxa"/>
                  <w:gridSpan w:val="2"/>
                  <w:shd w:val="clear" w:color="auto" w:fill="C0C0C0"/>
                </w:tcPr>
                <w:p w14:paraId="713BB6FE" w14:textId="77777777" w:rsidR="007F0263" w:rsidRPr="00D3232C" w:rsidRDefault="007F0263" w:rsidP="007F0263">
                  <w:pPr>
                    <w:ind w:right="-6"/>
                    <w:rPr>
                      <w:rFonts w:ascii="Arial" w:hAnsi="Arial" w:cs="Arial"/>
                    </w:rPr>
                  </w:pPr>
                  <w:r w:rsidRPr="00D3232C">
                    <w:rPr>
                      <w:rFonts w:ascii="Arial" w:hAnsi="Arial" w:cs="Arial"/>
                      <w:b/>
                    </w:rPr>
                    <w:t>Relevant experience requirement: Will be used in shortlisting</w:t>
                  </w:r>
                </w:p>
                <w:p w14:paraId="1AE82A0F" w14:textId="77777777" w:rsidR="007F0263" w:rsidRPr="00D3232C" w:rsidRDefault="007F0263" w:rsidP="007F0263">
                  <w:pPr>
                    <w:ind w:right="-6"/>
                    <w:rPr>
                      <w:rFonts w:ascii="Arial" w:hAnsi="Arial" w:cs="Arial"/>
                      <w:b/>
                    </w:rPr>
                  </w:pPr>
                </w:p>
              </w:tc>
            </w:tr>
            <w:tr w:rsidR="007F0263" w:rsidRPr="00D3232C" w14:paraId="77C3B387" w14:textId="77777777" w:rsidTr="004A1982">
              <w:tblPrEx>
                <w:shd w:val="clear" w:color="auto" w:fill="FFFFFF"/>
              </w:tblPrEx>
              <w:trPr>
                <w:gridAfter w:val="1"/>
                <w:wAfter w:w="120" w:type="dxa"/>
              </w:trPr>
              <w:tc>
                <w:tcPr>
                  <w:tcW w:w="9588" w:type="dxa"/>
                  <w:gridSpan w:val="2"/>
                  <w:shd w:val="clear" w:color="auto" w:fill="FFFFFF"/>
                </w:tcPr>
                <w:p w14:paraId="053CB51E" w14:textId="77777777" w:rsidR="007F0263" w:rsidRPr="00D3232C" w:rsidRDefault="007F0263" w:rsidP="007F0263">
                  <w:pPr>
                    <w:ind w:right="-6"/>
                    <w:jc w:val="both"/>
                    <w:rPr>
                      <w:rFonts w:ascii="Arial" w:hAnsi="Arial" w:cs="Arial"/>
                    </w:rPr>
                  </w:pPr>
                  <w:r>
                    <w:rPr>
                      <w:rFonts w:ascii="Arial" w:hAnsi="Arial" w:cs="Arial"/>
                    </w:rPr>
                    <w:t>R</w:t>
                  </w:r>
                  <w:r w:rsidRPr="00D3232C">
                    <w:rPr>
                      <w:rFonts w:ascii="Arial" w:hAnsi="Arial" w:cs="Arial"/>
                    </w:rPr>
                    <w:t xml:space="preserve">elevant experience of working in a public health role, </w:t>
                  </w:r>
                  <w:r>
                    <w:rPr>
                      <w:rFonts w:ascii="Arial" w:hAnsi="Arial" w:cs="Arial"/>
                    </w:rPr>
                    <w:t xml:space="preserve">with </w:t>
                  </w:r>
                  <w:r w:rsidRPr="00D3232C">
                    <w:rPr>
                      <w:rFonts w:ascii="Arial" w:hAnsi="Arial" w:cs="Arial"/>
                    </w:rPr>
                    <w:t xml:space="preserve">two </w:t>
                  </w:r>
                  <w:r>
                    <w:rPr>
                      <w:rFonts w:ascii="Arial" w:hAnsi="Arial" w:cs="Arial"/>
                    </w:rPr>
                    <w:t xml:space="preserve">years </w:t>
                  </w:r>
                  <w:r w:rsidRPr="00D3232C">
                    <w:rPr>
                      <w:rFonts w:ascii="Arial" w:hAnsi="Arial" w:cs="Arial"/>
                    </w:rPr>
                    <w:t>at a senior level.</w:t>
                  </w:r>
                </w:p>
                <w:p w14:paraId="04FCF806" w14:textId="77777777" w:rsidR="007F0263" w:rsidRPr="00D3232C" w:rsidRDefault="007F0263" w:rsidP="007F0263">
                  <w:pPr>
                    <w:ind w:left="360" w:right="-6"/>
                    <w:rPr>
                      <w:rFonts w:ascii="Arial" w:hAnsi="Arial" w:cs="Arial"/>
                    </w:rPr>
                  </w:pPr>
                </w:p>
              </w:tc>
            </w:tr>
            <w:tr w:rsidR="007F0263" w:rsidRPr="00D3232C" w14:paraId="2FB9A8D3" w14:textId="77777777" w:rsidTr="004A1982">
              <w:tblPrEx>
                <w:shd w:val="clear" w:color="auto" w:fill="FFFFFF"/>
              </w:tblPrEx>
              <w:trPr>
                <w:gridAfter w:val="1"/>
                <w:wAfter w:w="120" w:type="dxa"/>
              </w:trPr>
              <w:tc>
                <w:tcPr>
                  <w:tcW w:w="9588" w:type="dxa"/>
                  <w:gridSpan w:val="2"/>
                  <w:shd w:val="clear" w:color="auto" w:fill="FFFFFF"/>
                </w:tcPr>
                <w:p w14:paraId="29CB2879" w14:textId="77777777" w:rsidR="007F0263" w:rsidRPr="00D3232C" w:rsidRDefault="007F0263" w:rsidP="007F0263">
                  <w:pPr>
                    <w:ind w:right="-6"/>
                    <w:jc w:val="both"/>
                    <w:rPr>
                      <w:rFonts w:ascii="Arial" w:hAnsi="Arial" w:cs="Arial"/>
                    </w:rPr>
                  </w:pPr>
                  <w:r w:rsidRPr="00D3232C">
                    <w:rPr>
                      <w:rFonts w:ascii="Arial" w:hAnsi="Arial" w:cs="Arial"/>
                    </w:rPr>
                    <w:t>Experience of leading individual, cultural and/or organisational change in a range of settings</w:t>
                  </w:r>
                  <w:r>
                    <w:rPr>
                      <w:rFonts w:ascii="Arial" w:hAnsi="Arial" w:cs="Arial"/>
                    </w:rPr>
                    <w:t xml:space="preserve">, particularly schools and educational settings/organisations. </w:t>
                  </w:r>
                </w:p>
                <w:p w14:paraId="71DC691E" w14:textId="77777777" w:rsidR="007F0263" w:rsidRPr="00D3232C" w:rsidRDefault="007F0263" w:rsidP="007F0263">
                  <w:pPr>
                    <w:ind w:right="-6"/>
                    <w:rPr>
                      <w:rFonts w:ascii="Arial" w:hAnsi="Arial" w:cs="Arial"/>
                    </w:rPr>
                  </w:pPr>
                </w:p>
              </w:tc>
            </w:tr>
            <w:tr w:rsidR="007F0263" w:rsidRPr="00D3232C" w14:paraId="717D6623" w14:textId="77777777" w:rsidTr="004A1982">
              <w:tblPrEx>
                <w:shd w:val="clear" w:color="auto" w:fill="FFFFFF"/>
              </w:tblPrEx>
              <w:trPr>
                <w:gridAfter w:val="1"/>
                <w:wAfter w:w="120" w:type="dxa"/>
                <w:trHeight w:val="921"/>
              </w:trPr>
              <w:tc>
                <w:tcPr>
                  <w:tcW w:w="9588" w:type="dxa"/>
                  <w:gridSpan w:val="2"/>
                  <w:shd w:val="clear" w:color="auto" w:fill="FFFFFF"/>
                </w:tcPr>
                <w:p w14:paraId="008E6320" w14:textId="77777777" w:rsidR="007F0263" w:rsidRPr="00D3232C" w:rsidRDefault="007F0263" w:rsidP="007F0263">
                  <w:pPr>
                    <w:ind w:right="-6"/>
                    <w:jc w:val="both"/>
                    <w:rPr>
                      <w:rFonts w:ascii="Arial" w:hAnsi="Arial" w:cs="Arial"/>
                    </w:rPr>
                  </w:pPr>
                  <w:r w:rsidRPr="00D3232C">
                    <w:rPr>
                      <w:rFonts w:ascii="Arial" w:hAnsi="Arial" w:cs="Arial"/>
                    </w:rPr>
                    <w:t>Experience of leading and developing public health programmes and strategies, including their management and evaluation.</w:t>
                  </w:r>
                </w:p>
              </w:tc>
            </w:tr>
            <w:tr w:rsidR="007F0263" w:rsidRPr="00D3232C" w14:paraId="6491AAF2" w14:textId="77777777" w:rsidTr="004A1982">
              <w:tblPrEx>
                <w:shd w:val="clear" w:color="auto" w:fill="FFFFFF"/>
              </w:tblPrEx>
              <w:trPr>
                <w:gridAfter w:val="1"/>
                <w:wAfter w:w="120" w:type="dxa"/>
              </w:trPr>
              <w:tc>
                <w:tcPr>
                  <w:tcW w:w="9588" w:type="dxa"/>
                  <w:gridSpan w:val="2"/>
                  <w:shd w:val="clear" w:color="auto" w:fill="FFFFFF"/>
                </w:tcPr>
                <w:p w14:paraId="72C450A9" w14:textId="77777777" w:rsidR="007F0263" w:rsidRPr="00D3232C" w:rsidRDefault="007F0263" w:rsidP="007F0263">
                  <w:pPr>
                    <w:ind w:right="-6"/>
                    <w:rPr>
                      <w:rFonts w:ascii="Arial" w:hAnsi="Arial" w:cs="Arial"/>
                    </w:rPr>
                  </w:pPr>
                  <w:r w:rsidRPr="00D3232C">
                    <w:rPr>
                      <w:rFonts w:ascii="Arial" w:hAnsi="Arial" w:cs="Arial"/>
                    </w:rPr>
                    <w:t>Experience of leading, building and maintaining effective partnerships both within and across organisations to improve outcomes.</w:t>
                  </w:r>
                </w:p>
                <w:p w14:paraId="70576A30" w14:textId="77777777" w:rsidR="007F0263" w:rsidRPr="00D3232C" w:rsidRDefault="007F0263" w:rsidP="007F0263">
                  <w:pPr>
                    <w:ind w:right="-6"/>
                    <w:rPr>
                      <w:rFonts w:ascii="Arial" w:hAnsi="Arial" w:cs="Arial"/>
                    </w:rPr>
                  </w:pPr>
                </w:p>
              </w:tc>
            </w:tr>
            <w:tr w:rsidR="007F0263" w:rsidRPr="00D3232C" w14:paraId="513BF02C" w14:textId="77777777" w:rsidTr="004A1982">
              <w:tblPrEx>
                <w:shd w:val="clear" w:color="auto" w:fill="FFFFFF"/>
              </w:tblPrEx>
              <w:trPr>
                <w:gridAfter w:val="1"/>
                <w:wAfter w:w="120" w:type="dxa"/>
              </w:trPr>
              <w:tc>
                <w:tcPr>
                  <w:tcW w:w="9588" w:type="dxa"/>
                  <w:gridSpan w:val="2"/>
                  <w:shd w:val="clear" w:color="auto" w:fill="FFFFFF"/>
                </w:tcPr>
                <w:p w14:paraId="4357FB54" w14:textId="77777777" w:rsidR="007F0263" w:rsidRDefault="007F0263" w:rsidP="007F0263">
                  <w:pPr>
                    <w:ind w:right="-6"/>
                    <w:rPr>
                      <w:rFonts w:ascii="Arial" w:hAnsi="Arial" w:cs="Arial"/>
                    </w:rPr>
                  </w:pPr>
                  <w:proofErr w:type="spellStart"/>
                  <w:r w:rsidRPr="00D3232C">
                    <w:rPr>
                      <w:rFonts w:ascii="Arial" w:hAnsi="Arial" w:cs="Arial"/>
                    </w:rPr>
                    <w:t>Exerience</w:t>
                  </w:r>
                  <w:proofErr w:type="spellEnd"/>
                  <w:r w:rsidRPr="00D3232C">
                    <w:rPr>
                      <w:rFonts w:ascii="Arial" w:hAnsi="Arial" w:cs="Arial"/>
                    </w:rPr>
                    <w:t xml:space="preserve"> of putting evidence into practice to improve outcomes.</w:t>
                  </w:r>
                </w:p>
                <w:p w14:paraId="21519132" w14:textId="77777777" w:rsidR="007F0263" w:rsidRPr="00D3232C" w:rsidRDefault="007F0263" w:rsidP="007F0263">
                  <w:pPr>
                    <w:ind w:right="-6"/>
                    <w:rPr>
                      <w:rFonts w:ascii="Arial" w:hAnsi="Arial" w:cs="Arial"/>
                    </w:rPr>
                  </w:pPr>
                </w:p>
              </w:tc>
            </w:tr>
            <w:tr w:rsidR="007A17E1" w:rsidRPr="00D3232C" w14:paraId="6ED07FC2" w14:textId="77777777" w:rsidTr="004A1982">
              <w:tblPrEx>
                <w:shd w:val="clear" w:color="auto" w:fill="FFFFFF"/>
              </w:tblPrEx>
              <w:trPr>
                <w:gridAfter w:val="1"/>
                <w:wAfter w:w="120" w:type="dxa"/>
              </w:trPr>
              <w:tc>
                <w:tcPr>
                  <w:tcW w:w="9588" w:type="dxa"/>
                  <w:gridSpan w:val="2"/>
                  <w:shd w:val="clear" w:color="auto" w:fill="FFFFFF"/>
                </w:tcPr>
                <w:p w14:paraId="4FC232C2" w14:textId="77777777" w:rsidR="007A17E1" w:rsidRDefault="007A17E1" w:rsidP="007A17E1">
                  <w:pPr>
                    <w:numPr>
                      <w:ilvl w:val="0"/>
                      <w:numId w:val="6"/>
                    </w:numPr>
                    <w:spacing w:after="0" w:line="240" w:lineRule="auto"/>
                    <w:ind w:right="-6"/>
                    <w:jc w:val="both"/>
                    <w:rPr>
                      <w:rFonts w:ascii="Arial" w:hAnsi="Arial" w:cs="Arial"/>
                    </w:rPr>
                  </w:pPr>
                  <w:r w:rsidRPr="00D3232C">
                    <w:rPr>
                      <w:rFonts w:ascii="Arial" w:hAnsi="Arial" w:cs="Arial"/>
                    </w:rPr>
                    <w:t xml:space="preserve">First degree in health or a related subject. </w:t>
                  </w:r>
                </w:p>
                <w:p w14:paraId="1D48C95B" w14:textId="77777777" w:rsidR="007A17E1" w:rsidRDefault="007A17E1" w:rsidP="007A17E1">
                  <w:pPr>
                    <w:spacing w:after="0" w:line="240" w:lineRule="auto"/>
                    <w:ind w:left="720" w:right="-6"/>
                    <w:jc w:val="both"/>
                    <w:rPr>
                      <w:rFonts w:ascii="Arial" w:hAnsi="Arial" w:cs="Arial"/>
                    </w:rPr>
                  </w:pPr>
                </w:p>
                <w:p w14:paraId="68220AED" w14:textId="77777777" w:rsidR="007A17E1" w:rsidRDefault="007A17E1" w:rsidP="007A17E1">
                  <w:pPr>
                    <w:numPr>
                      <w:ilvl w:val="0"/>
                      <w:numId w:val="6"/>
                    </w:numPr>
                    <w:spacing w:after="0" w:line="240" w:lineRule="auto"/>
                    <w:ind w:right="-6"/>
                    <w:jc w:val="both"/>
                    <w:rPr>
                      <w:rFonts w:ascii="Arial" w:hAnsi="Arial" w:cs="Arial"/>
                    </w:rPr>
                  </w:pPr>
                  <w:r w:rsidRPr="003415E1">
                    <w:rPr>
                      <w:rFonts w:ascii="Arial" w:hAnsi="Arial" w:cs="Arial"/>
                    </w:rPr>
                    <w:t xml:space="preserve">Educated to </w:t>
                  </w:r>
                  <w:proofErr w:type="gramStart"/>
                  <w:r w:rsidRPr="003415E1">
                    <w:rPr>
                      <w:rFonts w:ascii="Arial" w:hAnsi="Arial" w:cs="Arial"/>
                    </w:rPr>
                    <w:t>Masters</w:t>
                  </w:r>
                  <w:proofErr w:type="gramEnd"/>
                  <w:r w:rsidRPr="003415E1">
                    <w:rPr>
                      <w:rFonts w:ascii="Arial" w:hAnsi="Arial" w:cs="Arial"/>
                    </w:rPr>
                    <w:t xml:space="preserve"> level or equivalent experience in Public Health or a related field</w:t>
                  </w:r>
                </w:p>
                <w:p w14:paraId="235C6E99" w14:textId="77777777" w:rsidR="007A17E1" w:rsidRDefault="007A17E1" w:rsidP="007A17E1">
                  <w:pPr>
                    <w:pStyle w:val="ListParagraph"/>
                    <w:rPr>
                      <w:rFonts w:ascii="Arial" w:hAnsi="Arial" w:cs="Arial"/>
                    </w:rPr>
                  </w:pPr>
                </w:p>
                <w:p w14:paraId="4345C3A8" w14:textId="77777777" w:rsidR="000B655C" w:rsidRPr="003415E1" w:rsidRDefault="000B655C" w:rsidP="000B655C">
                  <w:pPr>
                    <w:numPr>
                      <w:ilvl w:val="0"/>
                      <w:numId w:val="6"/>
                    </w:numPr>
                    <w:spacing w:after="0" w:line="240" w:lineRule="auto"/>
                    <w:ind w:right="-6"/>
                    <w:jc w:val="both"/>
                    <w:rPr>
                      <w:rFonts w:ascii="Arial" w:hAnsi="Arial" w:cs="Arial"/>
                      <w:highlight w:val="yellow"/>
                    </w:rPr>
                  </w:pPr>
                  <w:r w:rsidRPr="003415E1">
                    <w:rPr>
                      <w:rFonts w:ascii="Arial" w:hAnsi="Arial" w:cs="Arial"/>
                      <w:highlight w:val="yellow"/>
                    </w:rPr>
                    <w:t xml:space="preserve">The candidate will be a registered </w:t>
                  </w:r>
                  <w:proofErr w:type="gramStart"/>
                  <w:r w:rsidRPr="003415E1">
                    <w:rPr>
                      <w:rFonts w:ascii="Arial" w:hAnsi="Arial" w:cs="Arial"/>
                      <w:highlight w:val="yellow"/>
                    </w:rPr>
                    <w:t>UK:PHR</w:t>
                  </w:r>
                  <w:proofErr w:type="gramEnd"/>
                  <w:r w:rsidRPr="003415E1">
                    <w:rPr>
                      <w:rFonts w:ascii="Arial" w:hAnsi="Arial" w:cs="Arial"/>
                      <w:highlight w:val="yellow"/>
                    </w:rPr>
                    <w:t xml:space="preserve"> public health practitioner </w:t>
                  </w:r>
                  <w:r w:rsidRPr="003415E1">
                    <w:rPr>
                      <w:rFonts w:ascii="Arial" w:hAnsi="Arial" w:cs="Arial"/>
                      <w:i/>
                      <w:iCs/>
                      <w:highlight w:val="yellow"/>
                    </w:rPr>
                    <w:t xml:space="preserve">(or be on the scheme, or in the process of applying)  </w:t>
                  </w:r>
                </w:p>
                <w:p w14:paraId="065E6835" w14:textId="77777777" w:rsidR="007A17E1" w:rsidRPr="00D3232C" w:rsidRDefault="007A17E1" w:rsidP="007F0263">
                  <w:pPr>
                    <w:ind w:right="-6"/>
                    <w:rPr>
                      <w:rFonts w:ascii="Arial" w:hAnsi="Arial" w:cs="Arial"/>
                    </w:rPr>
                  </w:pPr>
                </w:p>
              </w:tc>
            </w:tr>
          </w:tbl>
          <w:p w14:paraId="12EF8444" w14:textId="29D23000" w:rsidR="00B51C83" w:rsidRPr="00A47A5E" w:rsidRDefault="00B51C83" w:rsidP="007F6A25">
            <w:pPr>
              <w:spacing w:after="0" w:line="240" w:lineRule="auto"/>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w:t>
            </w:r>
            <w:proofErr w:type="spellStart"/>
            <w:r w:rsidR="00683063">
              <w:rPr>
                <w:rFonts w:ascii="Arial" w:eastAsia="Times New Roman" w:hAnsi="Arial" w:cs="Arial"/>
                <w:b/>
                <w:bCs/>
                <w:color w:val="FFFFFF" w:themeColor="background1"/>
                <w:lang w:eastAsia="en-GB"/>
              </w:rPr>
              <w:t>eg</w:t>
            </w:r>
            <w:proofErr w:type="spellEnd"/>
            <w:r w:rsidR="00683063">
              <w:rPr>
                <w:rFonts w:ascii="Arial" w:eastAsia="Times New Roman" w:hAnsi="Arial" w:cs="Arial"/>
                <w:b/>
                <w:bCs/>
                <w:color w:val="FFFFFF" w:themeColor="background1"/>
                <w:lang w:eastAsia="en-GB"/>
              </w:rPr>
              <w:t xml:space="preserve">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15ACE8B4" w14:textId="2A410E17" w:rsidR="00A47A5E" w:rsidRPr="00216BC9" w:rsidRDefault="00A47A5E" w:rsidP="00E84D3F">
            <w:pPr>
              <w:ind w:left="72" w:right="72"/>
              <w:rPr>
                <w:rFonts w:ascii="Arial" w:eastAsia="Times New Roman" w:hAnsi="Arial" w:cs="Arial"/>
                <w:color w:val="000000"/>
                <w:sz w:val="18"/>
                <w:szCs w:val="18"/>
                <w:lang w:eastAsia="en-GB"/>
              </w:rPr>
            </w:pPr>
          </w:p>
        </w:tc>
      </w:tr>
    </w:tbl>
    <w:p w14:paraId="4516C430" w14:textId="77777777" w:rsidR="00DA396A" w:rsidRDefault="00DA396A"/>
    <w:p w14:paraId="1DB42131" w14:textId="77777777" w:rsidR="005571A9" w:rsidRDefault="005571A9"/>
    <w:tbl>
      <w:tblPr>
        <w:tblW w:w="10488" w:type="dxa"/>
        <w:tblInd w:w="93" w:type="dxa"/>
        <w:tblLook w:val="04A0" w:firstRow="1" w:lastRow="0" w:firstColumn="1" w:lastColumn="0" w:noHBand="0" w:noVBand="1"/>
      </w:tblPr>
      <w:tblGrid>
        <w:gridCol w:w="10488"/>
      </w:tblGrid>
      <w:tr w:rsidR="005571A9" w:rsidRPr="005571A9" w14:paraId="16350D07" w14:textId="77777777" w:rsidTr="005571A9">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5BC7AC97" w14:textId="57CA2AFB" w:rsidR="005571A9" w:rsidRPr="005571A9" w:rsidRDefault="005571A9" w:rsidP="005571A9">
            <w:pPr>
              <w:rPr>
                <w:rFonts w:ascii="Arial" w:hAnsi="Arial" w:cs="Arial"/>
                <w:b/>
                <w:bCs/>
              </w:rPr>
            </w:pPr>
            <w:bookmarkStart w:id="0" w:name="_Hlk194391042"/>
            <w:r w:rsidRPr="005571A9">
              <w:rPr>
                <w:rFonts w:ascii="Arial" w:hAnsi="Arial" w:cs="Arial"/>
                <w:b/>
                <w:bCs/>
              </w:rPr>
              <w:t>Structure Chart (role of direct reports)</w:t>
            </w:r>
          </w:p>
        </w:tc>
      </w:tr>
      <w:tr w:rsidR="005571A9" w:rsidRPr="005571A9" w14:paraId="4650EC0D" w14:textId="77777777" w:rsidTr="00E65499">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3AE93A5B" w14:textId="66BC6F30" w:rsidR="00205B39" w:rsidRPr="00D3232C" w:rsidRDefault="00205B39" w:rsidP="00205B39">
            <w:pPr>
              <w:ind w:right="-108"/>
              <w:jc w:val="center"/>
            </w:pPr>
            <w:r w:rsidRPr="00D3232C">
              <w:rPr>
                <w:b/>
                <w:noProof/>
              </w:rPr>
              <w:drawing>
                <wp:anchor distT="0" distB="0" distL="114300" distR="114300" simplePos="0" relativeHeight="251659264" behindDoc="0" locked="0" layoutInCell="1" allowOverlap="1" wp14:anchorId="3420AD7E" wp14:editId="6A85CB72">
                  <wp:simplePos x="0" y="0"/>
                  <wp:positionH relativeFrom="character">
                    <wp:posOffset>80645</wp:posOffset>
                  </wp:positionH>
                  <wp:positionV relativeFrom="line">
                    <wp:posOffset>29210</wp:posOffset>
                  </wp:positionV>
                  <wp:extent cx="5274945" cy="3033395"/>
                  <wp:effectExtent l="0" t="0" r="0" b="14605"/>
                  <wp:wrapNone/>
                  <wp:docPr id="187915426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D3232C">
              <w:rPr>
                <w:noProof/>
              </w:rPr>
              <mc:AlternateContent>
                <mc:Choice Requires="wps">
                  <w:drawing>
                    <wp:inline distT="0" distB="0" distL="0" distR="0" wp14:anchorId="64AC8B3F" wp14:editId="014BD68D">
                      <wp:extent cx="5188585" cy="2594610"/>
                      <wp:effectExtent l="0" t="0" r="0" b="0"/>
                      <wp:docPr id="162663570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8585" cy="259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97D084" id="Rectangle 1" o:spid="_x0000_s1026" style="width:408.55pt;height:2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" filled="f" stroked="f">
                      <o:lock v:ext="edit" aspectratio="t"/>
                      <w10:anchorlock/>
                    </v:rect>
                  </w:pict>
                </mc:Fallback>
              </mc:AlternateContent>
            </w:r>
          </w:p>
          <w:p w14:paraId="20708097" w14:textId="77777777" w:rsidR="00205B39" w:rsidRPr="00D3232C" w:rsidRDefault="00205B39" w:rsidP="00205B39">
            <w:pPr>
              <w:ind w:right="-108"/>
              <w:rPr>
                <w:b/>
              </w:rPr>
            </w:pPr>
          </w:p>
          <w:p w14:paraId="0C4175CD" w14:textId="77777777" w:rsidR="005571A9" w:rsidRPr="005571A9" w:rsidRDefault="005571A9" w:rsidP="005571A9"/>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bl>
    <w:p w14:paraId="35B3A1F7" w14:textId="77777777" w:rsidR="00A47A5E" w:rsidRDefault="00A47A5E" w:rsidP="00A47A5E"/>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08"/>
      </w:tblGrid>
      <w:tr w:rsidR="00F57742" w14:paraId="627FDE22" w14:textId="77777777" w:rsidTr="004A1982">
        <w:tc>
          <w:tcPr>
            <w:tcW w:w="9588" w:type="dxa"/>
            <w:shd w:val="clear" w:color="auto" w:fill="C0C0C0"/>
          </w:tcPr>
          <w:p w14:paraId="52073D0C" w14:textId="77777777" w:rsidR="00F57742" w:rsidRPr="00D3232C" w:rsidRDefault="00F57742" w:rsidP="004A1982">
            <w:pPr>
              <w:ind w:right="-874"/>
              <w:rPr>
                <w:rFonts w:ascii="Arial" w:hAnsi="Arial" w:cs="Arial"/>
                <w:b/>
              </w:rPr>
            </w:pPr>
            <w:r w:rsidRPr="00D3232C">
              <w:rPr>
                <w:rFonts w:ascii="Arial" w:hAnsi="Arial" w:cs="Arial"/>
                <w:b/>
              </w:rPr>
              <w:t xml:space="preserve">Core Employee competencies at manager level to be used at the interview stage. </w:t>
            </w:r>
          </w:p>
          <w:p w14:paraId="7ABDE825" w14:textId="77777777" w:rsidR="00F57742" w:rsidRPr="00D3232C" w:rsidRDefault="00F57742" w:rsidP="004A1982">
            <w:pPr>
              <w:ind w:right="-874"/>
              <w:rPr>
                <w:rFonts w:ascii="Arial" w:hAnsi="Arial" w:cs="Arial"/>
                <w:b/>
              </w:rPr>
            </w:pPr>
          </w:p>
        </w:tc>
      </w:tr>
      <w:tr w:rsidR="00F57742" w14:paraId="09068C1B" w14:textId="77777777" w:rsidTr="004A1982">
        <w:tc>
          <w:tcPr>
            <w:tcW w:w="9588" w:type="dxa"/>
            <w:shd w:val="clear" w:color="auto" w:fill="FFFFFF"/>
          </w:tcPr>
          <w:p w14:paraId="5E79A095" w14:textId="77777777" w:rsidR="00F57742" w:rsidRPr="00D3232C" w:rsidRDefault="00F57742" w:rsidP="004A1982">
            <w:pPr>
              <w:ind w:right="-874"/>
              <w:jc w:val="both"/>
              <w:rPr>
                <w:rFonts w:ascii="Arial" w:hAnsi="Arial" w:cs="Arial"/>
              </w:rPr>
            </w:pPr>
            <w:r w:rsidRPr="00D3232C">
              <w:rPr>
                <w:rFonts w:ascii="Arial" w:hAnsi="Arial" w:cs="Arial"/>
                <w:b/>
              </w:rPr>
              <w:t xml:space="preserve">Carries Out Performance Management </w:t>
            </w:r>
            <w:r w:rsidRPr="00D3232C">
              <w:rPr>
                <w:rFonts w:ascii="Arial" w:hAnsi="Arial" w:cs="Arial"/>
              </w:rPr>
              <w:t xml:space="preserve">– covers the </w:t>
            </w:r>
            <w:proofErr w:type="gramStart"/>
            <w:r w:rsidRPr="00D3232C">
              <w:rPr>
                <w:rFonts w:ascii="Arial" w:hAnsi="Arial" w:cs="Arial"/>
              </w:rPr>
              <w:t>employees</w:t>
            </w:r>
            <w:proofErr w:type="gramEnd"/>
            <w:r w:rsidRPr="00D3232C">
              <w:rPr>
                <w:rFonts w:ascii="Arial" w:hAnsi="Arial" w:cs="Arial"/>
              </w:rPr>
              <w:t xml:space="preserve"> capacity to manage </w:t>
            </w:r>
          </w:p>
          <w:p w14:paraId="7B1252FC" w14:textId="77777777" w:rsidR="00F57742" w:rsidRPr="00D3232C" w:rsidRDefault="00F57742" w:rsidP="004A1982">
            <w:pPr>
              <w:ind w:right="-874"/>
              <w:jc w:val="both"/>
              <w:rPr>
                <w:rFonts w:ascii="Arial" w:hAnsi="Arial" w:cs="Arial"/>
              </w:rPr>
            </w:pPr>
            <w:r w:rsidRPr="00D3232C">
              <w:rPr>
                <w:rFonts w:ascii="Arial" w:hAnsi="Arial" w:cs="Arial"/>
              </w:rPr>
              <w:t xml:space="preserve">their workload and carry out </w:t>
            </w:r>
            <w:proofErr w:type="gramStart"/>
            <w:r w:rsidRPr="00D3232C">
              <w:rPr>
                <w:rFonts w:ascii="Arial" w:hAnsi="Arial" w:cs="Arial"/>
              </w:rPr>
              <w:t>a number of</w:t>
            </w:r>
            <w:proofErr w:type="gramEnd"/>
            <w:r w:rsidRPr="00D3232C">
              <w:rPr>
                <w:rFonts w:ascii="Arial" w:hAnsi="Arial" w:cs="Arial"/>
              </w:rPr>
              <w:t xml:space="preserve"> specific tasks accurately and to a high standard. </w:t>
            </w:r>
          </w:p>
        </w:tc>
      </w:tr>
      <w:tr w:rsidR="00F57742" w14:paraId="4AD65EE6" w14:textId="77777777" w:rsidTr="004A1982">
        <w:tc>
          <w:tcPr>
            <w:tcW w:w="9588" w:type="dxa"/>
            <w:shd w:val="clear" w:color="auto" w:fill="FFFFFF"/>
          </w:tcPr>
          <w:p w14:paraId="5B399357" w14:textId="77777777" w:rsidR="00F57742" w:rsidRPr="00D3232C" w:rsidRDefault="00F57742" w:rsidP="004A1982">
            <w:pPr>
              <w:ind w:right="-6"/>
              <w:jc w:val="both"/>
              <w:rPr>
                <w:rFonts w:ascii="Arial Bold" w:hAnsi="Arial Bold" w:cs="Arial"/>
                <w:b/>
              </w:rPr>
            </w:pPr>
            <w:r w:rsidRPr="00D3232C">
              <w:rPr>
                <w:rFonts w:ascii="Arial Bold" w:hAnsi="Arial Bold" w:cs="Arial"/>
                <w:b/>
              </w:rPr>
              <w:t xml:space="preserve">Communicates Effectively </w:t>
            </w:r>
            <w:r w:rsidRPr="00D3232C">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D3232C">
              <w:rPr>
                <w:rFonts w:ascii="Arial Bold" w:hAnsi="Arial Bold" w:cs="Arial"/>
                <w:b/>
              </w:rPr>
              <w:t xml:space="preserve"> </w:t>
            </w:r>
          </w:p>
        </w:tc>
      </w:tr>
      <w:tr w:rsidR="00F57742" w14:paraId="2B301689" w14:textId="77777777" w:rsidTr="004A1982">
        <w:tc>
          <w:tcPr>
            <w:tcW w:w="9588" w:type="dxa"/>
            <w:shd w:val="clear" w:color="auto" w:fill="FFFFFF"/>
          </w:tcPr>
          <w:p w14:paraId="1D0385C8" w14:textId="77777777" w:rsidR="00F57742" w:rsidRPr="00D3232C" w:rsidRDefault="00F57742" w:rsidP="004A1982">
            <w:pPr>
              <w:jc w:val="both"/>
              <w:rPr>
                <w:rFonts w:ascii="Arial Bold" w:hAnsi="Arial Bold" w:cs="Arial"/>
                <w:b/>
              </w:rPr>
            </w:pPr>
            <w:r w:rsidRPr="00D3232C">
              <w:rPr>
                <w:rFonts w:ascii="Arial Bold" w:hAnsi="Arial Bold" w:cs="Arial"/>
                <w:b/>
              </w:rPr>
              <w:t>Carries Out Effective Decision Making</w:t>
            </w:r>
            <w:r w:rsidRPr="00D3232C">
              <w:rPr>
                <w:rFonts w:ascii="Arial" w:hAnsi="Arial"/>
              </w:rPr>
              <w:t xml:space="preserve"> - covers a range of thinking skills required for taking initiative and independent actions within the scope of the job.  It includes planning and organising, </w:t>
            </w:r>
            <w:proofErr w:type="spellStart"/>
            <w:r w:rsidRPr="00D3232C">
              <w:rPr>
                <w:rFonts w:ascii="Arial" w:hAnsi="Arial"/>
              </w:rPr>
              <w:t>self effectiveness</w:t>
            </w:r>
            <w:proofErr w:type="spellEnd"/>
            <w:r w:rsidRPr="00D3232C">
              <w:rPr>
                <w:rFonts w:ascii="Arial" w:hAnsi="Arial"/>
              </w:rPr>
              <w:t xml:space="preserve"> and any requirements to quality check work.</w:t>
            </w:r>
          </w:p>
        </w:tc>
      </w:tr>
      <w:tr w:rsidR="00F57742" w14:paraId="3A009F81" w14:textId="77777777" w:rsidTr="004A1982">
        <w:tc>
          <w:tcPr>
            <w:tcW w:w="9588" w:type="dxa"/>
            <w:shd w:val="clear" w:color="auto" w:fill="FFFFFF"/>
          </w:tcPr>
          <w:p w14:paraId="6EDD472E" w14:textId="77777777" w:rsidR="00F57742" w:rsidRPr="00621F43" w:rsidRDefault="00F57742" w:rsidP="004A1982">
            <w:pPr>
              <w:jc w:val="both"/>
              <w:rPr>
                <w:rFonts w:ascii="Arial" w:hAnsi="Arial"/>
              </w:rPr>
            </w:pPr>
            <w:r w:rsidRPr="00621F43">
              <w:rPr>
                <w:rFonts w:ascii="Arial Bold" w:hAnsi="Arial Bold" w:cs="Arial"/>
                <w:b/>
              </w:rPr>
              <w:t xml:space="preserve">Undertakes Structured </w:t>
            </w:r>
            <w:proofErr w:type="gramStart"/>
            <w:r w:rsidRPr="00621F43">
              <w:rPr>
                <w:rFonts w:ascii="Arial Bold" w:hAnsi="Arial Bold" w:cs="Arial"/>
                <w:b/>
              </w:rPr>
              <w:t>Problem Solving</w:t>
            </w:r>
            <w:proofErr w:type="gramEnd"/>
            <w:r w:rsidRPr="00621F43">
              <w:rPr>
                <w:rFonts w:ascii="Arial" w:hAnsi="Arial"/>
              </w:rPr>
              <w:t xml:space="preserve"> </w:t>
            </w:r>
            <w:r w:rsidRPr="00621F43">
              <w:rPr>
                <w:rFonts w:ascii="Arial Bold" w:hAnsi="Arial Bold"/>
                <w:b/>
              </w:rPr>
              <w:t>Activity</w:t>
            </w:r>
            <w:r w:rsidRPr="00621F4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F57742" w14:paraId="5D97D78B" w14:textId="77777777" w:rsidTr="004A1982">
        <w:tc>
          <w:tcPr>
            <w:tcW w:w="9588" w:type="dxa"/>
            <w:shd w:val="clear" w:color="auto" w:fill="FFFFFF"/>
          </w:tcPr>
          <w:p w14:paraId="44F3F201" w14:textId="77777777" w:rsidR="00F57742" w:rsidRPr="00621F43" w:rsidRDefault="00F57742" w:rsidP="004A1982">
            <w:pPr>
              <w:jc w:val="both"/>
              <w:rPr>
                <w:rFonts w:ascii="Arial" w:hAnsi="Arial"/>
              </w:rPr>
            </w:pPr>
            <w:r w:rsidRPr="00621F43">
              <w:rPr>
                <w:rFonts w:ascii="Arial Bold" w:hAnsi="Arial Bold" w:cs="Arial"/>
                <w:b/>
                <w:szCs w:val="20"/>
              </w:rPr>
              <w:t>Operates with Dignity and Respect</w:t>
            </w:r>
            <w:r w:rsidRPr="00621F43">
              <w:rPr>
                <w:rFonts w:ascii="Arial" w:hAnsi="Arial"/>
              </w:rPr>
              <w:t xml:space="preserve"> - covers treating everyone with respect and dignity, maintains impartiality/fairness with all people, is aware of the barriers people face.  </w:t>
            </w:r>
          </w:p>
        </w:tc>
      </w:tr>
    </w:tbl>
    <w:p w14:paraId="2534DEC4" w14:textId="77777777" w:rsidR="00F57742" w:rsidRDefault="00F57742" w:rsidP="00F57742"/>
    <w:p w14:paraId="7852D4EC" w14:textId="77777777" w:rsidR="00F57742" w:rsidRDefault="00F57742" w:rsidP="00F57742"/>
    <w:p w14:paraId="1CBF6C21" w14:textId="77777777" w:rsidR="00F57742" w:rsidRDefault="00F57742" w:rsidP="00F57742"/>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F57742" w14:paraId="120EAAE8" w14:textId="77777777" w:rsidTr="004A1982">
        <w:tc>
          <w:tcPr>
            <w:tcW w:w="9708" w:type="dxa"/>
            <w:shd w:val="clear" w:color="auto" w:fill="D9D9D9"/>
          </w:tcPr>
          <w:p w14:paraId="76A3F458" w14:textId="77777777" w:rsidR="00F57742" w:rsidRPr="00621F43" w:rsidRDefault="00F57742" w:rsidP="004A1982">
            <w:pPr>
              <w:ind w:right="-6"/>
              <w:rPr>
                <w:rFonts w:ascii="Arial Bold" w:hAnsi="Arial Bold" w:cs="Arial"/>
                <w:b/>
                <w:color w:val="FF0000"/>
              </w:rPr>
            </w:pPr>
            <w:r w:rsidRPr="00621F43">
              <w:rPr>
                <w:rFonts w:ascii="Arial Bold" w:hAnsi="Arial Bold" w:cs="Arial"/>
                <w:b/>
              </w:rPr>
              <w:t xml:space="preserve">Management Competencies: </w:t>
            </w:r>
            <w:r w:rsidRPr="00621F43">
              <w:rPr>
                <w:rFonts w:ascii="Arial" w:hAnsi="Arial" w:cs="Arial"/>
                <w:b/>
              </w:rPr>
              <w:t>to be used at the interview stage.</w:t>
            </w:r>
            <w:r w:rsidRPr="00621F43">
              <w:rPr>
                <w:rFonts w:ascii="Arial Bold" w:hAnsi="Arial Bold" w:cs="Arial"/>
                <w:b/>
                <w:color w:val="000000"/>
              </w:rPr>
              <w:t xml:space="preserve"> </w:t>
            </w:r>
          </w:p>
          <w:p w14:paraId="0AE1C351" w14:textId="77777777" w:rsidR="00F57742" w:rsidRPr="00621F43" w:rsidRDefault="00F57742" w:rsidP="004A1982">
            <w:pPr>
              <w:ind w:right="-6"/>
              <w:rPr>
                <w:rFonts w:ascii="Arial Bold" w:hAnsi="Arial Bold" w:cs="Arial"/>
                <w:b/>
                <w:color w:val="FF0000"/>
              </w:rPr>
            </w:pPr>
          </w:p>
        </w:tc>
      </w:tr>
      <w:tr w:rsidR="00F57742" w14:paraId="6117169E" w14:textId="77777777" w:rsidTr="004A1982">
        <w:tc>
          <w:tcPr>
            <w:tcW w:w="9708" w:type="dxa"/>
          </w:tcPr>
          <w:p w14:paraId="57BF4DC3" w14:textId="77777777" w:rsidR="00F57742" w:rsidRPr="00621F43" w:rsidRDefault="00F57742" w:rsidP="004A1982">
            <w:pPr>
              <w:jc w:val="both"/>
              <w:rPr>
                <w:rFonts w:ascii="Arial" w:hAnsi="Arial"/>
              </w:rPr>
            </w:pPr>
            <w:r w:rsidRPr="00621F43">
              <w:rPr>
                <w:rFonts w:ascii="Arial Bold" w:hAnsi="Arial Bold"/>
                <w:b/>
                <w:color w:val="000000"/>
                <w:szCs w:val="16"/>
              </w:rPr>
              <w:t xml:space="preserve">Operates with Strategic Awareness </w:t>
            </w:r>
            <w:r w:rsidRPr="00621F43">
              <w:rPr>
                <w:rFonts w:ascii="Arial" w:hAnsi="Arial"/>
                <w:color w:val="000000"/>
                <w:szCs w:val="16"/>
              </w:rPr>
              <w:t>Our managers</w:t>
            </w:r>
            <w:r w:rsidRPr="00621F43">
              <w:rPr>
                <w:rFonts w:ascii="Arial Bold" w:hAnsi="Arial Bold"/>
                <w:b/>
                <w:color w:val="000000"/>
                <w:szCs w:val="16"/>
              </w:rPr>
              <w:t xml:space="preserve"> </w:t>
            </w:r>
            <w:r w:rsidRPr="00621F43">
              <w:rPr>
                <w:rFonts w:ascii="Arial" w:hAnsi="Arial"/>
              </w:rPr>
              <w:t xml:space="preserve">work with corporate priorities and policies in a </w:t>
            </w:r>
            <w:proofErr w:type="gramStart"/>
            <w:r w:rsidRPr="00621F43">
              <w:rPr>
                <w:rFonts w:ascii="Arial" w:hAnsi="Arial"/>
              </w:rPr>
              <w:t>joined up</w:t>
            </w:r>
            <w:proofErr w:type="gramEnd"/>
            <w:r w:rsidRPr="00621F43">
              <w:rPr>
                <w:rFonts w:ascii="Arial" w:hAnsi="Arial"/>
              </w:rPr>
              <w:t xml:space="preserve"> way with others, internally and externally. Works democratically, transparently and accountably.</w:t>
            </w:r>
          </w:p>
        </w:tc>
      </w:tr>
      <w:tr w:rsidR="00F57742" w14:paraId="15869288" w14:textId="77777777" w:rsidTr="004A1982">
        <w:tc>
          <w:tcPr>
            <w:tcW w:w="9708" w:type="dxa"/>
          </w:tcPr>
          <w:p w14:paraId="4DCB9100" w14:textId="77777777" w:rsidR="00F57742" w:rsidRPr="00621F43" w:rsidRDefault="00F57742" w:rsidP="004A1982">
            <w:pPr>
              <w:jc w:val="both"/>
              <w:rPr>
                <w:rFonts w:ascii="Arial" w:hAnsi="Arial"/>
                <w:szCs w:val="20"/>
              </w:rPr>
            </w:pPr>
            <w:r w:rsidRPr="00621F43">
              <w:rPr>
                <w:rFonts w:ascii="Arial Bold" w:hAnsi="Arial Bold"/>
                <w:b/>
                <w:color w:val="000000"/>
                <w:szCs w:val="16"/>
              </w:rPr>
              <w:t xml:space="preserve">Practices Appropriate Leadership </w:t>
            </w:r>
            <w:r w:rsidRPr="00621F43">
              <w:rPr>
                <w:rFonts w:ascii="Arial" w:hAnsi="Arial"/>
                <w:szCs w:val="20"/>
              </w:rPr>
              <w:t xml:space="preserve">Our managers motivate their staff to exceed expectations through raising their awareness of goals and moving them beyond </w:t>
            </w:r>
            <w:proofErr w:type="spellStart"/>
            <w:r w:rsidRPr="00621F43">
              <w:rPr>
                <w:rFonts w:ascii="Arial" w:hAnsi="Arial"/>
                <w:szCs w:val="20"/>
              </w:rPr>
              <w:t>self interest</w:t>
            </w:r>
            <w:proofErr w:type="spellEnd"/>
            <w:r w:rsidRPr="00621F43">
              <w:rPr>
                <w:rFonts w:ascii="Arial" w:hAnsi="Arial"/>
                <w:szCs w:val="20"/>
              </w:rPr>
              <w:t xml:space="preserve"> for the sake of the team or service. They consider serving the </w:t>
            </w:r>
            <w:proofErr w:type="gramStart"/>
            <w:r w:rsidRPr="00621F43">
              <w:rPr>
                <w:rFonts w:ascii="Arial" w:hAnsi="Arial"/>
                <w:szCs w:val="20"/>
              </w:rPr>
              <w:t>District</w:t>
            </w:r>
            <w:proofErr w:type="gramEnd"/>
            <w:r w:rsidRPr="00621F43">
              <w:rPr>
                <w:rFonts w:ascii="Arial" w:hAnsi="Arial"/>
                <w:szCs w:val="20"/>
              </w:rPr>
              <w:t xml:space="preserve"> in all that they do.</w:t>
            </w:r>
          </w:p>
        </w:tc>
      </w:tr>
      <w:tr w:rsidR="00F57742" w14:paraId="0E52ADA1" w14:textId="77777777" w:rsidTr="004A1982">
        <w:tc>
          <w:tcPr>
            <w:tcW w:w="9708" w:type="dxa"/>
          </w:tcPr>
          <w:p w14:paraId="66B0239A" w14:textId="77777777" w:rsidR="00F57742" w:rsidRPr="00621F43" w:rsidRDefault="00F57742" w:rsidP="004A1982">
            <w:pPr>
              <w:jc w:val="both"/>
              <w:rPr>
                <w:rFonts w:ascii="Arial" w:hAnsi="Arial"/>
              </w:rPr>
            </w:pPr>
            <w:r w:rsidRPr="00621F43">
              <w:rPr>
                <w:rFonts w:ascii="Arial Bold" w:hAnsi="Arial Bold"/>
                <w:b/>
                <w:color w:val="000000"/>
                <w:szCs w:val="16"/>
              </w:rPr>
              <w:t xml:space="preserve">Delivering Successful Performance </w:t>
            </w:r>
            <w:r w:rsidRPr="00621F43">
              <w:rPr>
                <w:rFonts w:ascii="Arial" w:hAnsi="Arial"/>
                <w:bCs/>
                <w:szCs w:val="20"/>
              </w:rPr>
              <w:t xml:space="preserve">Our managers monitor performance of services, teams &amp; individuals against targets &amp; celebrate great performance. They promote the </w:t>
            </w:r>
            <w:proofErr w:type="gramStart"/>
            <w:r w:rsidRPr="00621F43">
              <w:rPr>
                <w:rFonts w:ascii="Arial" w:hAnsi="Arial"/>
                <w:bCs/>
                <w:szCs w:val="20"/>
              </w:rPr>
              <w:t>District’s</w:t>
            </w:r>
            <w:proofErr w:type="gramEnd"/>
            <w:r w:rsidRPr="00621F43">
              <w:rPr>
                <w:rFonts w:ascii="Arial" w:hAnsi="Arial"/>
                <w:bCs/>
                <w:szCs w:val="20"/>
              </w:rPr>
              <w:t xml:space="preserve"> vision &amp; work to achieve Council’s values &amp; agreed outcomes</w:t>
            </w:r>
            <w:r w:rsidRPr="00621F43">
              <w:rPr>
                <w:rFonts w:ascii="Arial" w:hAnsi="Arial"/>
                <w:color w:val="000000"/>
              </w:rPr>
              <w:t>.</w:t>
            </w:r>
          </w:p>
        </w:tc>
      </w:tr>
      <w:tr w:rsidR="00F57742" w14:paraId="4BCC22CA" w14:textId="77777777" w:rsidTr="004A1982">
        <w:tc>
          <w:tcPr>
            <w:tcW w:w="9708" w:type="dxa"/>
          </w:tcPr>
          <w:p w14:paraId="14DBB56F" w14:textId="77777777" w:rsidR="00F57742" w:rsidRPr="00621F43" w:rsidRDefault="00F57742" w:rsidP="004A1982">
            <w:pPr>
              <w:jc w:val="both"/>
              <w:rPr>
                <w:rFonts w:ascii="Arial" w:hAnsi="Arial" w:cs="Arial"/>
                <w:bCs/>
                <w:szCs w:val="20"/>
              </w:rPr>
            </w:pPr>
            <w:r w:rsidRPr="00621F43">
              <w:rPr>
                <w:rFonts w:ascii="Arial Bold" w:hAnsi="Arial Bold"/>
                <w:b/>
              </w:rPr>
              <w:t>Applying Project and Programme Management</w:t>
            </w:r>
            <w:r w:rsidRPr="00621F43">
              <w:rPr>
                <w:rFonts w:ascii="Arial" w:hAnsi="Arial" w:cs="Arial"/>
                <w:bCs/>
                <w:szCs w:val="20"/>
              </w:rPr>
              <w:t xml:space="preserve"> Our manager’s work to ensure that outcomes and objectives are achieved within desired timescales, make best use of resources and take a positive approach to contingency planning.</w:t>
            </w:r>
          </w:p>
        </w:tc>
      </w:tr>
      <w:tr w:rsidR="00F57742" w14:paraId="75DCFB56" w14:textId="77777777" w:rsidTr="004A1982">
        <w:tc>
          <w:tcPr>
            <w:tcW w:w="9708" w:type="dxa"/>
            <w:tcBorders>
              <w:bottom w:val="single" w:sz="4" w:space="0" w:color="auto"/>
            </w:tcBorders>
          </w:tcPr>
          <w:p w14:paraId="715F7373" w14:textId="77777777" w:rsidR="00F57742" w:rsidRPr="00621F43" w:rsidRDefault="00F57742" w:rsidP="004A1982">
            <w:pPr>
              <w:jc w:val="both"/>
              <w:rPr>
                <w:rFonts w:ascii="Arial" w:hAnsi="Arial"/>
              </w:rPr>
            </w:pPr>
            <w:r w:rsidRPr="00621F43">
              <w:rPr>
                <w:rFonts w:ascii="Arial Bold" w:hAnsi="Arial Bold"/>
                <w:b/>
                <w:color w:val="000000"/>
                <w:szCs w:val="16"/>
              </w:rPr>
              <w:t>Developing High Performing People and Teams</w:t>
            </w:r>
            <w:r w:rsidRPr="00621F43">
              <w:rPr>
                <w:rFonts w:ascii="Arial" w:hAnsi="Arial" w:cs="Arial"/>
              </w:rPr>
              <w:t xml:space="preserve"> Our managers coach individuals and teams to achieve their potential and take responsibility for continuous improvement. They champion the Council’s values and goals.</w:t>
            </w:r>
          </w:p>
        </w:tc>
      </w:tr>
      <w:tr w:rsidR="00F57742" w14:paraId="2494B795" w14:textId="77777777" w:rsidTr="004A1982">
        <w:tc>
          <w:tcPr>
            <w:tcW w:w="9708" w:type="dxa"/>
            <w:shd w:val="clear" w:color="auto" w:fill="B3B3B3"/>
          </w:tcPr>
          <w:p w14:paraId="39A2F61F" w14:textId="77777777" w:rsidR="00F57742" w:rsidRPr="00621F43" w:rsidRDefault="00F57742" w:rsidP="004A1982">
            <w:pPr>
              <w:ind w:right="-874"/>
              <w:rPr>
                <w:rFonts w:ascii="Arial" w:hAnsi="Arial" w:cs="Arial"/>
                <w:b/>
              </w:rPr>
            </w:pPr>
            <w:r w:rsidRPr="00621F43">
              <w:rPr>
                <w:rFonts w:ascii="Arial" w:hAnsi="Arial" w:cs="Arial"/>
                <w:b/>
              </w:rPr>
              <w:t xml:space="preserve">Working Conditions: </w:t>
            </w:r>
          </w:p>
          <w:p w14:paraId="3BC8E20C" w14:textId="77777777" w:rsidR="00F57742" w:rsidRPr="00621F43" w:rsidRDefault="00F57742" w:rsidP="004A1982">
            <w:pPr>
              <w:ind w:right="-154"/>
              <w:rPr>
                <w:rFonts w:ascii="Arial" w:hAnsi="Arial" w:cs="Arial"/>
              </w:rPr>
            </w:pPr>
            <w:r w:rsidRPr="00621F43">
              <w:rPr>
                <w:sz w:val="20"/>
                <w:szCs w:val="20"/>
              </w:rPr>
              <w:t xml:space="preserve"> </w:t>
            </w:r>
          </w:p>
        </w:tc>
      </w:tr>
      <w:tr w:rsidR="00F57742" w14:paraId="15FDCD6E" w14:textId="77777777" w:rsidTr="004A1982">
        <w:tc>
          <w:tcPr>
            <w:tcW w:w="9708" w:type="dxa"/>
          </w:tcPr>
          <w:p w14:paraId="7853A512" w14:textId="77777777" w:rsidR="00F57742" w:rsidRDefault="00F57742" w:rsidP="004A1982">
            <w:pPr>
              <w:ind w:right="-154"/>
              <w:jc w:val="both"/>
              <w:rPr>
                <w:sz w:val="20"/>
                <w:szCs w:val="20"/>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p w14:paraId="3BF08A7E" w14:textId="77777777" w:rsidR="00F57742" w:rsidRPr="00621F43" w:rsidRDefault="00F57742" w:rsidP="004A1982">
            <w:pPr>
              <w:ind w:right="-154"/>
              <w:rPr>
                <w:rFonts w:ascii="Arial" w:hAnsi="Arial" w:cs="Arial"/>
              </w:rPr>
            </w:pPr>
          </w:p>
        </w:tc>
      </w:tr>
    </w:tbl>
    <w:p w14:paraId="5C44AF55" w14:textId="77777777" w:rsidR="00F57742" w:rsidRDefault="00F57742" w:rsidP="00A47A5E"/>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134FF0" w:rsidRPr="00621F43" w14:paraId="178B1A38" w14:textId="77777777" w:rsidTr="004A1982">
        <w:tc>
          <w:tcPr>
            <w:tcW w:w="9708" w:type="dxa"/>
            <w:shd w:val="clear" w:color="auto" w:fill="B3B3B3"/>
          </w:tcPr>
          <w:p w14:paraId="65DB31AD" w14:textId="77777777" w:rsidR="00134FF0" w:rsidRPr="00621F43" w:rsidRDefault="00134FF0" w:rsidP="004A1982">
            <w:pPr>
              <w:ind w:right="-874"/>
              <w:rPr>
                <w:rFonts w:ascii="Arial" w:hAnsi="Arial" w:cs="Arial"/>
                <w:b/>
              </w:rPr>
            </w:pPr>
            <w:r w:rsidRPr="00621F43">
              <w:rPr>
                <w:rFonts w:ascii="Arial" w:hAnsi="Arial" w:cs="Arial"/>
                <w:b/>
              </w:rPr>
              <w:t xml:space="preserve">Working Conditions: </w:t>
            </w:r>
          </w:p>
          <w:p w14:paraId="250DA54C" w14:textId="77777777" w:rsidR="00134FF0" w:rsidRPr="00621F43" w:rsidRDefault="00134FF0" w:rsidP="004A1982">
            <w:pPr>
              <w:ind w:right="-154"/>
              <w:rPr>
                <w:rFonts w:ascii="Arial" w:hAnsi="Arial" w:cs="Arial"/>
              </w:rPr>
            </w:pPr>
            <w:r w:rsidRPr="00621F43">
              <w:rPr>
                <w:sz w:val="20"/>
                <w:szCs w:val="20"/>
              </w:rPr>
              <w:t xml:space="preserve"> </w:t>
            </w:r>
          </w:p>
        </w:tc>
      </w:tr>
      <w:tr w:rsidR="00134FF0" w:rsidRPr="00621F43" w14:paraId="3A7B651A" w14:textId="77777777" w:rsidTr="004A1982">
        <w:tc>
          <w:tcPr>
            <w:tcW w:w="9708" w:type="dxa"/>
          </w:tcPr>
          <w:p w14:paraId="4E79A65E" w14:textId="77777777" w:rsidR="00134FF0" w:rsidRDefault="00134FF0" w:rsidP="004A1982">
            <w:pPr>
              <w:ind w:right="-154"/>
              <w:jc w:val="both"/>
              <w:rPr>
                <w:sz w:val="20"/>
                <w:szCs w:val="20"/>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p w14:paraId="2BF03DB0" w14:textId="77777777" w:rsidR="00134FF0" w:rsidRPr="00621F43" w:rsidRDefault="00134FF0" w:rsidP="004A1982">
            <w:pPr>
              <w:ind w:right="-154"/>
              <w:rPr>
                <w:rFonts w:ascii="Arial" w:hAnsi="Arial" w:cs="Arial"/>
              </w:rPr>
            </w:pPr>
          </w:p>
        </w:tc>
      </w:tr>
      <w:tr w:rsidR="00134FF0" w:rsidRPr="00621F43" w14:paraId="48A1D8BB" w14:textId="77777777" w:rsidTr="004A1982">
        <w:tc>
          <w:tcPr>
            <w:tcW w:w="9708" w:type="dxa"/>
          </w:tcPr>
          <w:p w14:paraId="2AE259F5" w14:textId="77777777" w:rsidR="00134FF0" w:rsidRPr="00621F43" w:rsidRDefault="00134FF0" w:rsidP="004A1982">
            <w:pPr>
              <w:ind w:right="-874"/>
              <w:rPr>
                <w:rFonts w:ascii="Arial" w:hAnsi="Arial" w:cs="Arial"/>
                <w:b/>
              </w:rPr>
            </w:pPr>
          </w:p>
        </w:tc>
      </w:tr>
      <w:tr w:rsidR="00134FF0" w:rsidRPr="00621F43" w14:paraId="35A8189A" w14:textId="77777777" w:rsidTr="004A1982">
        <w:tc>
          <w:tcPr>
            <w:tcW w:w="9708" w:type="dxa"/>
            <w:shd w:val="clear" w:color="auto" w:fill="B3B3B3"/>
          </w:tcPr>
          <w:p w14:paraId="040457C7" w14:textId="77777777" w:rsidR="00134FF0" w:rsidRPr="00621F43" w:rsidRDefault="00134FF0" w:rsidP="004A1982">
            <w:pPr>
              <w:ind w:right="-874"/>
              <w:rPr>
                <w:rFonts w:ascii="Arial" w:hAnsi="Arial" w:cs="Arial"/>
              </w:rPr>
            </w:pPr>
            <w:r w:rsidRPr="00621F43">
              <w:rPr>
                <w:rFonts w:ascii="Arial" w:hAnsi="Arial" w:cs="Arial"/>
                <w:b/>
              </w:rPr>
              <w:t xml:space="preserve">Special Conditions: </w:t>
            </w:r>
          </w:p>
        </w:tc>
      </w:tr>
      <w:tr w:rsidR="00134FF0" w:rsidRPr="00621F43" w14:paraId="6F07A277" w14:textId="77777777" w:rsidTr="004A1982">
        <w:tc>
          <w:tcPr>
            <w:tcW w:w="9708" w:type="dxa"/>
          </w:tcPr>
          <w:p w14:paraId="0CC4A557" w14:textId="77777777" w:rsidR="00134FF0" w:rsidRPr="00621F43" w:rsidRDefault="00134FF0" w:rsidP="004A1982">
            <w:pPr>
              <w:ind w:right="-874"/>
              <w:jc w:val="both"/>
              <w:rPr>
                <w:rFonts w:ascii="Arial" w:hAnsi="Arial" w:cs="Arial"/>
              </w:rPr>
            </w:pPr>
            <w:r>
              <w:rPr>
                <w:rFonts w:ascii="Arial" w:hAnsi="Arial" w:cs="Arial"/>
              </w:rPr>
              <w:t>This role will require a DBS check.</w:t>
            </w:r>
          </w:p>
        </w:tc>
      </w:tr>
    </w:tbl>
    <w:p w14:paraId="0EBF8EEF" w14:textId="77777777" w:rsidR="00134FF0" w:rsidRDefault="00134FF0" w:rsidP="00A47A5E"/>
    <w:sectPr w:rsidR="00134FF0" w:rsidSect="001273C2">
      <w:headerReference w:type="defaul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3E497" w14:textId="77777777" w:rsidR="00BA3635" w:rsidRDefault="00BA3635" w:rsidP="001273C2">
      <w:pPr>
        <w:spacing w:after="0" w:line="240" w:lineRule="auto"/>
      </w:pPr>
      <w:r>
        <w:separator/>
      </w:r>
    </w:p>
  </w:endnote>
  <w:endnote w:type="continuationSeparator" w:id="0">
    <w:p w14:paraId="6AF9EE33" w14:textId="77777777" w:rsidR="00BA3635" w:rsidRDefault="00BA3635"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3871" w14:textId="77777777" w:rsidR="00BA3635" w:rsidRDefault="00BA3635" w:rsidP="001273C2">
      <w:pPr>
        <w:spacing w:after="0" w:line="240" w:lineRule="auto"/>
      </w:pPr>
      <w:r>
        <w:separator/>
      </w:r>
    </w:p>
  </w:footnote>
  <w:footnote w:type="continuationSeparator" w:id="0">
    <w:p w14:paraId="593C30C9" w14:textId="77777777" w:rsidR="00BA3635" w:rsidRDefault="00BA3635"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44DD"/>
    <w:multiLevelType w:val="hybridMultilevel"/>
    <w:tmpl w:val="B5F62792"/>
    <w:lvl w:ilvl="0" w:tplc="BADCF82E">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2771A0"/>
    <w:multiLevelType w:val="hybridMultilevel"/>
    <w:tmpl w:val="4DB6D3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37D1F"/>
    <w:multiLevelType w:val="hybridMultilevel"/>
    <w:tmpl w:val="19C29AFA"/>
    <w:lvl w:ilvl="0" w:tplc="9A22A2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6"/>
  </w:num>
  <w:num w:numId="2" w16cid:durableId="1926260588">
    <w:abstractNumId w:val="1"/>
  </w:num>
  <w:num w:numId="3" w16cid:durableId="558636114">
    <w:abstractNumId w:val="3"/>
  </w:num>
  <w:num w:numId="4" w16cid:durableId="647828281">
    <w:abstractNumId w:val="2"/>
  </w:num>
  <w:num w:numId="5" w16cid:durableId="19085500">
    <w:abstractNumId w:val="4"/>
  </w:num>
  <w:num w:numId="6" w16cid:durableId="1002124241">
    <w:abstractNumId w:val="5"/>
  </w:num>
  <w:num w:numId="7" w16cid:durableId="155531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172F"/>
    <w:rsid w:val="00074607"/>
    <w:rsid w:val="00093D74"/>
    <w:rsid w:val="00094F2C"/>
    <w:rsid w:val="000A6831"/>
    <w:rsid w:val="000B4138"/>
    <w:rsid w:val="000B655C"/>
    <w:rsid w:val="000E28D8"/>
    <w:rsid w:val="000F1D1B"/>
    <w:rsid w:val="001273C2"/>
    <w:rsid w:val="00131461"/>
    <w:rsid w:val="00131A47"/>
    <w:rsid w:val="00134FF0"/>
    <w:rsid w:val="001405CA"/>
    <w:rsid w:val="00142197"/>
    <w:rsid w:val="00154967"/>
    <w:rsid w:val="00180D8E"/>
    <w:rsid w:val="0018136C"/>
    <w:rsid w:val="00181C0F"/>
    <w:rsid w:val="001A79BA"/>
    <w:rsid w:val="001B6563"/>
    <w:rsid w:val="001C30D2"/>
    <w:rsid w:val="001F65D3"/>
    <w:rsid w:val="001F7865"/>
    <w:rsid w:val="002011F7"/>
    <w:rsid w:val="00205B39"/>
    <w:rsid w:val="0021090E"/>
    <w:rsid w:val="00216BC9"/>
    <w:rsid w:val="002257ED"/>
    <w:rsid w:val="00253F50"/>
    <w:rsid w:val="0025533D"/>
    <w:rsid w:val="00266F4B"/>
    <w:rsid w:val="0029324B"/>
    <w:rsid w:val="002D3196"/>
    <w:rsid w:val="002E02AA"/>
    <w:rsid w:val="002E0AE0"/>
    <w:rsid w:val="002E1953"/>
    <w:rsid w:val="002E5113"/>
    <w:rsid w:val="002F77A1"/>
    <w:rsid w:val="00347C63"/>
    <w:rsid w:val="00362819"/>
    <w:rsid w:val="003B0D8D"/>
    <w:rsid w:val="00406A61"/>
    <w:rsid w:val="00416793"/>
    <w:rsid w:val="00432A83"/>
    <w:rsid w:val="00441FA8"/>
    <w:rsid w:val="00457795"/>
    <w:rsid w:val="00461C3C"/>
    <w:rsid w:val="0046619F"/>
    <w:rsid w:val="004801A4"/>
    <w:rsid w:val="00492B56"/>
    <w:rsid w:val="004C60A9"/>
    <w:rsid w:val="005303E4"/>
    <w:rsid w:val="00536113"/>
    <w:rsid w:val="005457E2"/>
    <w:rsid w:val="005544AA"/>
    <w:rsid w:val="00554556"/>
    <w:rsid w:val="005566D4"/>
    <w:rsid w:val="005571A9"/>
    <w:rsid w:val="00557F44"/>
    <w:rsid w:val="00564F0F"/>
    <w:rsid w:val="00590E99"/>
    <w:rsid w:val="00592474"/>
    <w:rsid w:val="0059567E"/>
    <w:rsid w:val="00596C47"/>
    <w:rsid w:val="00597D72"/>
    <w:rsid w:val="005A03DA"/>
    <w:rsid w:val="005B118E"/>
    <w:rsid w:val="005D4E93"/>
    <w:rsid w:val="005F65B4"/>
    <w:rsid w:val="005F769D"/>
    <w:rsid w:val="00614FDF"/>
    <w:rsid w:val="006332DA"/>
    <w:rsid w:val="006539EF"/>
    <w:rsid w:val="00661CB8"/>
    <w:rsid w:val="00683063"/>
    <w:rsid w:val="0069587B"/>
    <w:rsid w:val="006A2D28"/>
    <w:rsid w:val="006B4F8D"/>
    <w:rsid w:val="006F1DAE"/>
    <w:rsid w:val="00732BDD"/>
    <w:rsid w:val="00741F72"/>
    <w:rsid w:val="00786472"/>
    <w:rsid w:val="0079274B"/>
    <w:rsid w:val="007A17E1"/>
    <w:rsid w:val="007E3C18"/>
    <w:rsid w:val="007F0263"/>
    <w:rsid w:val="007F64D5"/>
    <w:rsid w:val="007F6A25"/>
    <w:rsid w:val="0082180B"/>
    <w:rsid w:val="00850084"/>
    <w:rsid w:val="008830B1"/>
    <w:rsid w:val="008B6287"/>
    <w:rsid w:val="00911BBC"/>
    <w:rsid w:val="00957C72"/>
    <w:rsid w:val="009C1EE4"/>
    <w:rsid w:val="009E7530"/>
    <w:rsid w:val="00A4447C"/>
    <w:rsid w:val="00A47A5E"/>
    <w:rsid w:val="00A6260E"/>
    <w:rsid w:val="00A9477A"/>
    <w:rsid w:val="00AA2ADE"/>
    <w:rsid w:val="00AB5218"/>
    <w:rsid w:val="00AE6DC2"/>
    <w:rsid w:val="00AE7530"/>
    <w:rsid w:val="00B02C11"/>
    <w:rsid w:val="00B1733A"/>
    <w:rsid w:val="00B51C83"/>
    <w:rsid w:val="00B52885"/>
    <w:rsid w:val="00B5292A"/>
    <w:rsid w:val="00B53938"/>
    <w:rsid w:val="00B81F88"/>
    <w:rsid w:val="00B8452D"/>
    <w:rsid w:val="00BA3635"/>
    <w:rsid w:val="00BB4240"/>
    <w:rsid w:val="00BD4A7C"/>
    <w:rsid w:val="00BF592E"/>
    <w:rsid w:val="00C01F5D"/>
    <w:rsid w:val="00C13112"/>
    <w:rsid w:val="00C210FD"/>
    <w:rsid w:val="00C830D6"/>
    <w:rsid w:val="00C93A63"/>
    <w:rsid w:val="00CA2970"/>
    <w:rsid w:val="00CB73CE"/>
    <w:rsid w:val="00CD69AA"/>
    <w:rsid w:val="00D26419"/>
    <w:rsid w:val="00D43968"/>
    <w:rsid w:val="00D45D7E"/>
    <w:rsid w:val="00D702A0"/>
    <w:rsid w:val="00DA2A11"/>
    <w:rsid w:val="00DA396A"/>
    <w:rsid w:val="00DA419B"/>
    <w:rsid w:val="00DA4C34"/>
    <w:rsid w:val="00DE63AB"/>
    <w:rsid w:val="00DF0213"/>
    <w:rsid w:val="00E07684"/>
    <w:rsid w:val="00E15858"/>
    <w:rsid w:val="00E43897"/>
    <w:rsid w:val="00E61F44"/>
    <w:rsid w:val="00E67878"/>
    <w:rsid w:val="00E84D3F"/>
    <w:rsid w:val="00E86097"/>
    <w:rsid w:val="00E8762A"/>
    <w:rsid w:val="00E95CD7"/>
    <w:rsid w:val="00EB1C60"/>
    <w:rsid w:val="00ED3B26"/>
    <w:rsid w:val="00F57742"/>
    <w:rsid w:val="00F65291"/>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D40680-3C05-4C4B-9156-75000C40E7C1}" type="doc">
      <dgm:prSet loTypeId="urn:microsoft.com/office/officeart/2005/8/layout/orgChart1" loCatId="hierarchy" qsTypeId="urn:microsoft.com/office/officeart/2005/8/quickstyle/simple1" qsCatId="simple" csTypeId="urn:microsoft.com/office/officeart/2005/8/colors/accent1_2" csCatId="accent1"/>
      <dgm:spPr/>
    </dgm:pt>
    <dgm:pt modelId="{4045F396-B34B-42C3-B761-731AE766DEFB}">
      <dgm:prSet/>
      <dgm:spPr/>
      <dgm:t>
        <a:bodyPr/>
        <a:lstStyle/>
        <a:p>
          <a:pPr marR="0" algn="ctr" rtl="0"/>
          <a:r>
            <a:rPr lang="en-GB" b="0" i="0" u="none" strike="noStrike" kern="100" baseline="0">
              <a:latin typeface="Aptos" panose="020B0004020202020204" pitchFamily="34" charset="0"/>
            </a:rPr>
            <a:t>Head of Public health; Healthy communities </a:t>
          </a:r>
          <a:endParaRPr lang="en-GB"/>
        </a:p>
      </dgm:t>
    </dgm:pt>
    <dgm:pt modelId="{216FCAEF-2AC9-415F-9837-25F21CDC0846}" type="parTrans" cxnId="{C72191ED-D38C-4052-B35D-76848DD0CB9A}">
      <dgm:prSet/>
      <dgm:spPr/>
      <dgm:t>
        <a:bodyPr/>
        <a:lstStyle/>
        <a:p>
          <a:endParaRPr lang="en-GB"/>
        </a:p>
      </dgm:t>
    </dgm:pt>
    <dgm:pt modelId="{12ED14E2-57EB-42AA-886D-C9E6F24FF708}" type="sibTrans" cxnId="{C72191ED-D38C-4052-B35D-76848DD0CB9A}">
      <dgm:prSet/>
      <dgm:spPr/>
      <dgm:t>
        <a:bodyPr/>
        <a:lstStyle/>
        <a:p>
          <a:endParaRPr lang="en-GB"/>
        </a:p>
      </dgm:t>
    </dgm:pt>
    <dgm:pt modelId="{FE7472E1-C94C-460E-A23A-1B0B0F75C840}">
      <dgm:prSet/>
      <dgm:spPr/>
      <dgm:t>
        <a:bodyPr/>
        <a:lstStyle/>
        <a:p>
          <a:pPr marR="0" algn="ctr" rtl="0"/>
          <a:r>
            <a:rPr lang="en-GB" b="0" i="0" u="none" strike="noStrike" kern="100" baseline="0">
              <a:latin typeface="Aptos" panose="020B0004020202020204" pitchFamily="34" charset="0"/>
            </a:rPr>
            <a:t>Senior Public Health Specialist</a:t>
          </a:r>
        </a:p>
        <a:p>
          <a:pPr marR="0" algn="ctr" rtl="0"/>
          <a:r>
            <a:rPr lang="en-GB" b="0" i="0" u="none" strike="noStrike" kern="100" baseline="0">
              <a:latin typeface="Aptos" panose="020B0004020202020204" pitchFamily="34" charset="0"/>
            </a:rPr>
            <a:t>(Special A Grade) </a:t>
          </a:r>
          <a:endParaRPr lang="en-GB"/>
        </a:p>
      </dgm:t>
    </dgm:pt>
    <dgm:pt modelId="{9B9B477B-511B-44E3-9F2B-65115E5AE5C4}" type="parTrans" cxnId="{A78F917D-E947-488F-BD6B-BDCAB34F4A8B}">
      <dgm:prSet/>
      <dgm:spPr/>
      <dgm:t>
        <a:bodyPr/>
        <a:lstStyle/>
        <a:p>
          <a:endParaRPr lang="en-GB"/>
        </a:p>
      </dgm:t>
    </dgm:pt>
    <dgm:pt modelId="{7A361474-D690-47B2-902B-AA2490916541}" type="sibTrans" cxnId="{A78F917D-E947-488F-BD6B-BDCAB34F4A8B}">
      <dgm:prSet/>
      <dgm:spPr/>
      <dgm:t>
        <a:bodyPr/>
        <a:lstStyle/>
        <a:p>
          <a:endParaRPr lang="en-GB"/>
        </a:p>
      </dgm:t>
    </dgm:pt>
    <dgm:pt modelId="{472DBC35-4F1C-4CFB-8DD9-C7A71453251E}">
      <dgm:prSet/>
      <dgm:spPr/>
      <dgm:t>
        <a:bodyPr/>
        <a:lstStyle/>
        <a:p>
          <a:pPr marR="0" algn="ctr" rtl="0"/>
          <a:r>
            <a:rPr lang="en-GB" b="0" i="0" u="none" strike="noStrike" kern="100" baseline="0">
              <a:latin typeface="Aptos" panose="020B0004020202020204" pitchFamily="34" charset="0"/>
            </a:rPr>
            <a:t>Public Health Specialist (PO4/5) x 5 </a:t>
          </a:r>
          <a:endParaRPr lang="en-GB" b="0" i="0" u="none" strike="noStrike" kern="100" baseline="0">
            <a:latin typeface="Times New Roman" panose="02020603050405020304" pitchFamily="18" charset="0"/>
          </a:endParaRPr>
        </a:p>
        <a:p>
          <a:pPr marR="0" algn="ctr" rtl="0"/>
          <a:endParaRPr lang="en-GB" b="0" i="0" u="none" strike="noStrike" kern="100" baseline="0">
            <a:latin typeface="Times New Roman" panose="02020603050405020304" pitchFamily="18" charset="0"/>
          </a:endParaRPr>
        </a:p>
      </dgm:t>
    </dgm:pt>
    <dgm:pt modelId="{6E22FDDE-EDCE-438E-8519-11E62EA66BFC}" type="parTrans" cxnId="{3FF8D542-B4EC-43BC-AF1D-9F1E8061A17C}">
      <dgm:prSet/>
      <dgm:spPr/>
      <dgm:t>
        <a:bodyPr/>
        <a:lstStyle/>
        <a:p>
          <a:endParaRPr lang="en-GB"/>
        </a:p>
      </dgm:t>
    </dgm:pt>
    <dgm:pt modelId="{2A05D3E6-EED3-40C4-A8B4-9C548A26F714}" type="sibTrans" cxnId="{3FF8D542-B4EC-43BC-AF1D-9F1E8061A17C}">
      <dgm:prSet/>
      <dgm:spPr/>
      <dgm:t>
        <a:bodyPr/>
        <a:lstStyle/>
        <a:p>
          <a:endParaRPr lang="en-GB"/>
        </a:p>
      </dgm:t>
    </dgm:pt>
    <dgm:pt modelId="{263AB323-ADE5-4F43-A4BC-7F37C19AD9A1}" type="pres">
      <dgm:prSet presAssocID="{70D40680-3C05-4C4B-9156-75000C40E7C1}" presName="hierChild1" presStyleCnt="0">
        <dgm:presLayoutVars>
          <dgm:orgChart val="1"/>
          <dgm:chPref val="1"/>
          <dgm:dir/>
          <dgm:animOne val="branch"/>
          <dgm:animLvl val="lvl"/>
          <dgm:resizeHandles/>
        </dgm:presLayoutVars>
      </dgm:prSet>
      <dgm:spPr/>
    </dgm:pt>
    <dgm:pt modelId="{267403DE-4F20-44C1-8899-D2B8FE17BB58}" type="pres">
      <dgm:prSet presAssocID="{4045F396-B34B-42C3-B761-731AE766DEFB}" presName="hierRoot1" presStyleCnt="0">
        <dgm:presLayoutVars>
          <dgm:hierBranch/>
        </dgm:presLayoutVars>
      </dgm:prSet>
      <dgm:spPr/>
    </dgm:pt>
    <dgm:pt modelId="{338AD792-7C78-4F26-BD50-2C8928FA5C91}" type="pres">
      <dgm:prSet presAssocID="{4045F396-B34B-42C3-B761-731AE766DEFB}" presName="rootComposite1" presStyleCnt="0"/>
      <dgm:spPr/>
    </dgm:pt>
    <dgm:pt modelId="{90B62FFC-5F79-4C44-89E7-570C241EA101}" type="pres">
      <dgm:prSet presAssocID="{4045F396-B34B-42C3-B761-731AE766DEFB}" presName="rootText1" presStyleLbl="node0" presStyleIdx="0" presStyleCnt="1">
        <dgm:presLayoutVars>
          <dgm:chPref val="3"/>
        </dgm:presLayoutVars>
      </dgm:prSet>
      <dgm:spPr/>
    </dgm:pt>
    <dgm:pt modelId="{2D49E436-4C2D-41A0-B276-903E374538AD}" type="pres">
      <dgm:prSet presAssocID="{4045F396-B34B-42C3-B761-731AE766DEFB}" presName="rootConnector1" presStyleLbl="node1" presStyleIdx="0" presStyleCnt="0"/>
      <dgm:spPr/>
    </dgm:pt>
    <dgm:pt modelId="{C4F6216B-6A3A-4180-8946-5419247790C2}" type="pres">
      <dgm:prSet presAssocID="{4045F396-B34B-42C3-B761-731AE766DEFB}" presName="hierChild2" presStyleCnt="0"/>
      <dgm:spPr/>
    </dgm:pt>
    <dgm:pt modelId="{7BD665B3-88EF-4C8A-914F-AF2E5BC5A5A7}" type="pres">
      <dgm:prSet presAssocID="{9B9B477B-511B-44E3-9F2B-65115E5AE5C4}" presName="Name35" presStyleLbl="parChTrans1D2" presStyleIdx="0" presStyleCnt="1"/>
      <dgm:spPr/>
    </dgm:pt>
    <dgm:pt modelId="{DE43798E-FB5C-466F-9BB0-296D750A2A00}" type="pres">
      <dgm:prSet presAssocID="{FE7472E1-C94C-460E-A23A-1B0B0F75C840}" presName="hierRoot2" presStyleCnt="0">
        <dgm:presLayoutVars>
          <dgm:hierBranch/>
        </dgm:presLayoutVars>
      </dgm:prSet>
      <dgm:spPr/>
    </dgm:pt>
    <dgm:pt modelId="{FE4326B8-FC0D-4918-9D9C-ED6426103332}" type="pres">
      <dgm:prSet presAssocID="{FE7472E1-C94C-460E-A23A-1B0B0F75C840}" presName="rootComposite" presStyleCnt="0"/>
      <dgm:spPr/>
    </dgm:pt>
    <dgm:pt modelId="{E3F677BD-19D4-42DD-9BA1-C70CFAF280BC}" type="pres">
      <dgm:prSet presAssocID="{FE7472E1-C94C-460E-A23A-1B0B0F75C840}" presName="rootText" presStyleLbl="node2" presStyleIdx="0" presStyleCnt="1">
        <dgm:presLayoutVars>
          <dgm:chPref val="3"/>
        </dgm:presLayoutVars>
      </dgm:prSet>
      <dgm:spPr/>
    </dgm:pt>
    <dgm:pt modelId="{6D772919-41D0-4B33-808E-09770B1C1261}" type="pres">
      <dgm:prSet presAssocID="{FE7472E1-C94C-460E-A23A-1B0B0F75C840}" presName="rootConnector" presStyleLbl="node2" presStyleIdx="0" presStyleCnt="1"/>
      <dgm:spPr/>
    </dgm:pt>
    <dgm:pt modelId="{33C11384-1C77-4FDA-8D47-F54037CF897D}" type="pres">
      <dgm:prSet presAssocID="{FE7472E1-C94C-460E-A23A-1B0B0F75C840}" presName="hierChild4" presStyleCnt="0"/>
      <dgm:spPr/>
    </dgm:pt>
    <dgm:pt modelId="{2A61729E-5477-4DCD-BB4A-C30B0D4637B6}" type="pres">
      <dgm:prSet presAssocID="{6E22FDDE-EDCE-438E-8519-11E62EA66BFC}" presName="Name35" presStyleLbl="parChTrans1D3" presStyleIdx="0" presStyleCnt="1"/>
      <dgm:spPr/>
    </dgm:pt>
    <dgm:pt modelId="{5A19A1F1-BF0B-44E1-8CFA-95724030FDAA}" type="pres">
      <dgm:prSet presAssocID="{472DBC35-4F1C-4CFB-8DD9-C7A71453251E}" presName="hierRoot2" presStyleCnt="0">
        <dgm:presLayoutVars>
          <dgm:hierBranch val="r"/>
        </dgm:presLayoutVars>
      </dgm:prSet>
      <dgm:spPr/>
    </dgm:pt>
    <dgm:pt modelId="{53642722-A389-401B-B47E-BBA9590EDC6A}" type="pres">
      <dgm:prSet presAssocID="{472DBC35-4F1C-4CFB-8DD9-C7A71453251E}" presName="rootComposite" presStyleCnt="0"/>
      <dgm:spPr/>
    </dgm:pt>
    <dgm:pt modelId="{0ED5A71F-FC5F-4537-890D-D2F7186F5705}" type="pres">
      <dgm:prSet presAssocID="{472DBC35-4F1C-4CFB-8DD9-C7A71453251E}" presName="rootText" presStyleLbl="node3" presStyleIdx="0" presStyleCnt="1">
        <dgm:presLayoutVars>
          <dgm:chPref val="3"/>
        </dgm:presLayoutVars>
      </dgm:prSet>
      <dgm:spPr/>
    </dgm:pt>
    <dgm:pt modelId="{EDA6F876-1F6D-418D-B4C2-8878A7485A72}" type="pres">
      <dgm:prSet presAssocID="{472DBC35-4F1C-4CFB-8DD9-C7A71453251E}" presName="rootConnector" presStyleLbl="node3" presStyleIdx="0" presStyleCnt="1"/>
      <dgm:spPr/>
    </dgm:pt>
    <dgm:pt modelId="{218445CA-127A-47CD-92F2-9B9EB04637A0}" type="pres">
      <dgm:prSet presAssocID="{472DBC35-4F1C-4CFB-8DD9-C7A71453251E}" presName="hierChild4" presStyleCnt="0"/>
      <dgm:spPr/>
    </dgm:pt>
    <dgm:pt modelId="{1410CCCD-62BA-4CE0-A50B-09A90763F4DA}" type="pres">
      <dgm:prSet presAssocID="{472DBC35-4F1C-4CFB-8DD9-C7A71453251E}" presName="hierChild5" presStyleCnt="0"/>
      <dgm:spPr/>
    </dgm:pt>
    <dgm:pt modelId="{13930B32-1133-44BF-9AD3-28395BA55FBC}" type="pres">
      <dgm:prSet presAssocID="{FE7472E1-C94C-460E-A23A-1B0B0F75C840}" presName="hierChild5" presStyleCnt="0"/>
      <dgm:spPr/>
    </dgm:pt>
    <dgm:pt modelId="{B942B6DE-123F-4207-8844-76ABB527C235}" type="pres">
      <dgm:prSet presAssocID="{4045F396-B34B-42C3-B761-731AE766DEFB}" presName="hierChild3" presStyleCnt="0"/>
      <dgm:spPr/>
    </dgm:pt>
  </dgm:ptLst>
  <dgm:cxnLst>
    <dgm:cxn modelId="{47931303-976A-4E48-AA61-030F8A665292}" type="presOf" srcId="{9B9B477B-511B-44E3-9F2B-65115E5AE5C4}" destId="{7BD665B3-88EF-4C8A-914F-AF2E5BC5A5A7}" srcOrd="0" destOrd="0" presId="urn:microsoft.com/office/officeart/2005/8/layout/orgChart1"/>
    <dgm:cxn modelId="{BD1F5625-3737-4040-B00A-7AF29AA6EAA3}" type="presOf" srcId="{4045F396-B34B-42C3-B761-731AE766DEFB}" destId="{90B62FFC-5F79-4C44-89E7-570C241EA101}" srcOrd="0" destOrd="0" presId="urn:microsoft.com/office/officeart/2005/8/layout/orgChart1"/>
    <dgm:cxn modelId="{7492822A-8C79-4365-B81C-23FC4EFC583D}" type="presOf" srcId="{FE7472E1-C94C-460E-A23A-1B0B0F75C840}" destId="{6D772919-41D0-4B33-808E-09770B1C1261}" srcOrd="1" destOrd="0" presId="urn:microsoft.com/office/officeart/2005/8/layout/orgChart1"/>
    <dgm:cxn modelId="{ADE16E35-9198-40A0-8E21-8FFC0D783E2D}" type="presOf" srcId="{4045F396-B34B-42C3-B761-731AE766DEFB}" destId="{2D49E436-4C2D-41A0-B276-903E374538AD}" srcOrd="1" destOrd="0" presId="urn:microsoft.com/office/officeart/2005/8/layout/orgChart1"/>
    <dgm:cxn modelId="{28ED7F40-C241-44E9-8ECB-C96A69910456}" type="presOf" srcId="{472DBC35-4F1C-4CFB-8DD9-C7A71453251E}" destId="{0ED5A71F-FC5F-4537-890D-D2F7186F5705}" srcOrd="0" destOrd="0" presId="urn:microsoft.com/office/officeart/2005/8/layout/orgChart1"/>
    <dgm:cxn modelId="{3FF8D542-B4EC-43BC-AF1D-9F1E8061A17C}" srcId="{FE7472E1-C94C-460E-A23A-1B0B0F75C840}" destId="{472DBC35-4F1C-4CFB-8DD9-C7A71453251E}" srcOrd="0" destOrd="0" parTransId="{6E22FDDE-EDCE-438E-8519-11E62EA66BFC}" sibTransId="{2A05D3E6-EED3-40C4-A8B4-9C548A26F714}"/>
    <dgm:cxn modelId="{A78F917D-E947-488F-BD6B-BDCAB34F4A8B}" srcId="{4045F396-B34B-42C3-B761-731AE766DEFB}" destId="{FE7472E1-C94C-460E-A23A-1B0B0F75C840}" srcOrd="0" destOrd="0" parTransId="{9B9B477B-511B-44E3-9F2B-65115E5AE5C4}" sibTransId="{7A361474-D690-47B2-902B-AA2490916541}"/>
    <dgm:cxn modelId="{B419858A-6258-4799-8980-A5849847CAA6}" type="presOf" srcId="{6E22FDDE-EDCE-438E-8519-11E62EA66BFC}" destId="{2A61729E-5477-4DCD-BB4A-C30B0D4637B6}" srcOrd="0" destOrd="0" presId="urn:microsoft.com/office/officeart/2005/8/layout/orgChart1"/>
    <dgm:cxn modelId="{DECC8D9B-83F1-4D3D-9C03-835D14F908A6}" type="presOf" srcId="{472DBC35-4F1C-4CFB-8DD9-C7A71453251E}" destId="{EDA6F876-1F6D-418D-B4C2-8878A7485A72}" srcOrd="1" destOrd="0" presId="urn:microsoft.com/office/officeart/2005/8/layout/orgChart1"/>
    <dgm:cxn modelId="{CFDF02CE-43D7-4489-9B3B-401A4B51733E}" type="presOf" srcId="{70D40680-3C05-4C4B-9156-75000C40E7C1}" destId="{263AB323-ADE5-4F43-A4BC-7F37C19AD9A1}" srcOrd="0" destOrd="0" presId="urn:microsoft.com/office/officeart/2005/8/layout/orgChart1"/>
    <dgm:cxn modelId="{EFFC2CD5-8772-4D01-A474-30B09D8292C1}" type="presOf" srcId="{FE7472E1-C94C-460E-A23A-1B0B0F75C840}" destId="{E3F677BD-19D4-42DD-9BA1-C70CFAF280BC}" srcOrd="0" destOrd="0" presId="urn:microsoft.com/office/officeart/2005/8/layout/orgChart1"/>
    <dgm:cxn modelId="{C72191ED-D38C-4052-B35D-76848DD0CB9A}" srcId="{70D40680-3C05-4C4B-9156-75000C40E7C1}" destId="{4045F396-B34B-42C3-B761-731AE766DEFB}" srcOrd="0" destOrd="0" parTransId="{216FCAEF-2AC9-415F-9837-25F21CDC0846}" sibTransId="{12ED14E2-57EB-42AA-886D-C9E6F24FF708}"/>
    <dgm:cxn modelId="{24186E06-9F72-4AB9-B27B-FF09B22A5A1A}" type="presParOf" srcId="{263AB323-ADE5-4F43-A4BC-7F37C19AD9A1}" destId="{267403DE-4F20-44C1-8899-D2B8FE17BB58}" srcOrd="0" destOrd="0" presId="urn:microsoft.com/office/officeart/2005/8/layout/orgChart1"/>
    <dgm:cxn modelId="{6BA082BD-5A3F-4529-A5F6-FFDFD829D5CC}" type="presParOf" srcId="{267403DE-4F20-44C1-8899-D2B8FE17BB58}" destId="{338AD792-7C78-4F26-BD50-2C8928FA5C91}" srcOrd="0" destOrd="0" presId="urn:microsoft.com/office/officeart/2005/8/layout/orgChart1"/>
    <dgm:cxn modelId="{4DBA9D47-7CCA-4E3E-9549-22689A7645EA}" type="presParOf" srcId="{338AD792-7C78-4F26-BD50-2C8928FA5C91}" destId="{90B62FFC-5F79-4C44-89E7-570C241EA101}" srcOrd="0" destOrd="0" presId="urn:microsoft.com/office/officeart/2005/8/layout/orgChart1"/>
    <dgm:cxn modelId="{C79AAD26-92E7-4BD1-AF5E-2D9DD73874D2}" type="presParOf" srcId="{338AD792-7C78-4F26-BD50-2C8928FA5C91}" destId="{2D49E436-4C2D-41A0-B276-903E374538AD}" srcOrd="1" destOrd="0" presId="urn:microsoft.com/office/officeart/2005/8/layout/orgChart1"/>
    <dgm:cxn modelId="{38A18BB8-F16B-4BE2-8A96-B8321941B829}" type="presParOf" srcId="{267403DE-4F20-44C1-8899-D2B8FE17BB58}" destId="{C4F6216B-6A3A-4180-8946-5419247790C2}" srcOrd="1" destOrd="0" presId="urn:microsoft.com/office/officeart/2005/8/layout/orgChart1"/>
    <dgm:cxn modelId="{3755DCA3-F15E-4B80-A992-500948F4A016}" type="presParOf" srcId="{C4F6216B-6A3A-4180-8946-5419247790C2}" destId="{7BD665B3-88EF-4C8A-914F-AF2E5BC5A5A7}" srcOrd="0" destOrd="0" presId="urn:microsoft.com/office/officeart/2005/8/layout/orgChart1"/>
    <dgm:cxn modelId="{48A6966C-3FA3-4E17-AAB6-263878169A61}" type="presParOf" srcId="{C4F6216B-6A3A-4180-8946-5419247790C2}" destId="{DE43798E-FB5C-466F-9BB0-296D750A2A00}" srcOrd="1" destOrd="0" presId="urn:microsoft.com/office/officeart/2005/8/layout/orgChart1"/>
    <dgm:cxn modelId="{9EEF3B9D-CEDF-4F89-81A1-F2936563B91C}" type="presParOf" srcId="{DE43798E-FB5C-466F-9BB0-296D750A2A00}" destId="{FE4326B8-FC0D-4918-9D9C-ED6426103332}" srcOrd="0" destOrd="0" presId="urn:microsoft.com/office/officeart/2005/8/layout/orgChart1"/>
    <dgm:cxn modelId="{DDB82DA8-D439-44CA-9762-93C5221A41BF}" type="presParOf" srcId="{FE4326B8-FC0D-4918-9D9C-ED6426103332}" destId="{E3F677BD-19D4-42DD-9BA1-C70CFAF280BC}" srcOrd="0" destOrd="0" presId="urn:microsoft.com/office/officeart/2005/8/layout/orgChart1"/>
    <dgm:cxn modelId="{2373358C-C17F-4D08-832A-754E5D706E84}" type="presParOf" srcId="{FE4326B8-FC0D-4918-9D9C-ED6426103332}" destId="{6D772919-41D0-4B33-808E-09770B1C1261}" srcOrd="1" destOrd="0" presId="urn:microsoft.com/office/officeart/2005/8/layout/orgChart1"/>
    <dgm:cxn modelId="{98AB05C8-B04C-4E27-9453-C1386C2DD736}" type="presParOf" srcId="{DE43798E-FB5C-466F-9BB0-296D750A2A00}" destId="{33C11384-1C77-4FDA-8D47-F54037CF897D}" srcOrd="1" destOrd="0" presId="urn:microsoft.com/office/officeart/2005/8/layout/orgChart1"/>
    <dgm:cxn modelId="{1F2B41B6-4A33-43CA-9B76-E75B2F50C309}" type="presParOf" srcId="{33C11384-1C77-4FDA-8D47-F54037CF897D}" destId="{2A61729E-5477-4DCD-BB4A-C30B0D4637B6}" srcOrd="0" destOrd="0" presId="urn:microsoft.com/office/officeart/2005/8/layout/orgChart1"/>
    <dgm:cxn modelId="{1F46F5FB-46A1-423A-9528-5CAEB4AC267B}" type="presParOf" srcId="{33C11384-1C77-4FDA-8D47-F54037CF897D}" destId="{5A19A1F1-BF0B-44E1-8CFA-95724030FDAA}" srcOrd="1" destOrd="0" presId="urn:microsoft.com/office/officeart/2005/8/layout/orgChart1"/>
    <dgm:cxn modelId="{1460573F-028C-4813-BF38-2CA544597D24}" type="presParOf" srcId="{5A19A1F1-BF0B-44E1-8CFA-95724030FDAA}" destId="{53642722-A389-401B-B47E-BBA9590EDC6A}" srcOrd="0" destOrd="0" presId="urn:microsoft.com/office/officeart/2005/8/layout/orgChart1"/>
    <dgm:cxn modelId="{832B6E38-742B-492A-8CA9-F7ED7DBECF05}" type="presParOf" srcId="{53642722-A389-401B-B47E-BBA9590EDC6A}" destId="{0ED5A71F-FC5F-4537-890D-D2F7186F5705}" srcOrd="0" destOrd="0" presId="urn:microsoft.com/office/officeart/2005/8/layout/orgChart1"/>
    <dgm:cxn modelId="{903491B4-43EB-495F-9325-B5D574155187}" type="presParOf" srcId="{53642722-A389-401B-B47E-BBA9590EDC6A}" destId="{EDA6F876-1F6D-418D-B4C2-8878A7485A72}" srcOrd="1" destOrd="0" presId="urn:microsoft.com/office/officeart/2005/8/layout/orgChart1"/>
    <dgm:cxn modelId="{100D98AD-017C-4B59-B562-894B08C36341}" type="presParOf" srcId="{5A19A1F1-BF0B-44E1-8CFA-95724030FDAA}" destId="{218445CA-127A-47CD-92F2-9B9EB04637A0}" srcOrd="1" destOrd="0" presId="urn:microsoft.com/office/officeart/2005/8/layout/orgChart1"/>
    <dgm:cxn modelId="{D7DCAF54-C7C9-48F0-BB59-DBA30581DE45}" type="presParOf" srcId="{5A19A1F1-BF0B-44E1-8CFA-95724030FDAA}" destId="{1410CCCD-62BA-4CE0-A50B-09A90763F4DA}" srcOrd="2" destOrd="0" presId="urn:microsoft.com/office/officeart/2005/8/layout/orgChart1"/>
    <dgm:cxn modelId="{835F2352-10F5-4390-9690-53C711EAC058}" type="presParOf" srcId="{DE43798E-FB5C-466F-9BB0-296D750A2A00}" destId="{13930B32-1133-44BF-9AD3-28395BA55FBC}" srcOrd="2" destOrd="0" presId="urn:microsoft.com/office/officeart/2005/8/layout/orgChart1"/>
    <dgm:cxn modelId="{06CB5AB5-C7CE-46DD-92F9-D598CAEE38EB}" type="presParOf" srcId="{267403DE-4F20-44C1-8899-D2B8FE17BB58}" destId="{B942B6DE-123F-4207-8844-76ABB527C23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61729E-5477-4DCD-BB4A-C30B0D4637B6}">
      <dsp:nvSpPr>
        <dsp:cNvPr id="0" name=""/>
        <dsp:cNvSpPr/>
      </dsp:nvSpPr>
      <dsp:spPr>
        <a:xfrm>
          <a:off x="2591752" y="1911497"/>
          <a:ext cx="91440" cy="331631"/>
        </a:xfrm>
        <a:custGeom>
          <a:avLst/>
          <a:gdLst/>
          <a:ahLst/>
          <a:cxnLst/>
          <a:rect l="0" t="0" r="0" b="0"/>
          <a:pathLst>
            <a:path>
              <a:moveTo>
                <a:pt x="45720" y="0"/>
              </a:moveTo>
              <a:lnTo>
                <a:pt x="45720" y="3316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665B3-88EF-4C8A-914F-AF2E5BC5A5A7}">
      <dsp:nvSpPr>
        <dsp:cNvPr id="0" name=""/>
        <dsp:cNvSpPr/>
      </dsp:nvSpPr>
      <dsp:spPr>
        <a:xfrm>
          <a:off x="2591752" y="790265"/>
          <a:ext cx="91440" cy="331631"/>
        </a:xfrm>
        <a:custGeom>
          <a:avLst/>
          <a:gdLst/>
          <a:ahLst/>
          <a:cxnLst/>
          <a:rect l="0" t="0" r="0" b="0"/>
          <a:pathLst>
            <a:path>
              <a:moveTo>
                <a:pt x="45720" y="0"/>
              </a:moveTo>
              <a:lnTo>
                <a:pt x="45720" y="331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B62FFC-5F79-4C44-89E7-570C241EA101}">
      <dsp:nvSpPr>
        <dsp:cNvPr id="0" name=""/>
        <dsp:cNvSpPr/>
      </dsp:nvSpPr>
      <dsp:spPr>
        <a:xfrm>
          <a:off x="1847872" y="665"/>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Head of Public health; Healthy communities </a:t>
          </a:r>
          <a:endParaRPr lang="en-GB" sz="1300"/>
        </a:p>
      </dsp:txBody>
      <dsp:txXfrm>
        <a:off x="1847872" y="665"/>
        <a:ext cx="1579199" cy="789599"/>
      </dsp:txXfrm>
    </dsp:sp>
    <dsp:sp modelId="{E3F677BD-19D4-42DD-9BA1-C70CFAF280BC}">
      <dsp:nvSpPr>
        <dsp:cNvPr id="0" name=""/>
        <dsp:cNvSpPr/>
      </dsp:nvSpPr>
      <dsp:spPr>
        <a:xfrm>
          <a:off x="1847872" y="1121897"/>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Senior Public Health Specialist</a:t>
          </a:r>
        </a:p>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(Special A Grade) </a:t>
          </a:r>
          <a:endParaRPr lang="en-GB" sz="1300"/>
        </a:p>
      </dsp:txBody>
      <dsp:txXfrm>
        <a:off x="1847872" y="1121897"/>
        <a:ext cx="1579199" cy="789599"/>
      </dsp:txXfrm>
    </dsp:sp>
    <dsp:sp modelId="{0ED5A71F-FC5F-4537-890D-D2F7186F5705}">
      <dsp:nvSpPr>
        <dsp:cNvPr id="0" name=""/>
        <dsp:cNvSpPr/>
      </dsp:nvSpPr>
      <dsp:spPr>
        <a:xfrm>
          <a:off x="1847872" y="2243129"/>
          <a:ext cx="1579199" cy="7895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00" baseline="0">
              <a:latin typeface="Aptos" panose="020B0004020202020204" pitchFamily="34" charset="0"/>
            </a:rPr>
            <a:t>Public Health Specialist (PO4/5) x 5 </a:t>
          </a:r>
          <a:endParaRPr lang="en-GB" sz="1300" b="0" i="0" u="none" strike="noStrike" kern="100" baseline="0">
            <a:latin typeface="Times New Roman" panose="02020603050405020304" pitchFamily="18" charset="0"/>
          </a:endParaRPr>
        </a:p>
        <a:p>
          <a:pPr marL="0" marR="0" lvl="0" indent="0" algn="ctr" defTabSz="577850" rtl="0">
            <a:lnSpc>
              <a:spcPct val="90000"/>
            </a:lnSpc>
            <a:spcBef>
              <a:spcPct val="0"/>
            </a:spcBef>
            <a:spcAft>
              <a:spcPct val="35000"/>
            </a:spcAft>
            <a:buNone/>
          </a:pPr>
          <a:endParaRPr lang="en-GB" sz="1300" b="0" i="0" u="none" strike="noStrike" kern="100" baseline="0">
            <a:latin typeface="Times New Roman" panose="02020603050405020304" pitchFamily="18" charset="0"/>
          </a:endParaRPr>
        </a:p>
      </dsp:txBody>
      <dsp:txXfrm>
        <a:off x="1847872" y="2243129"/>
        <a:ext cx="1579199" cy="789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1931</Words>
  <Characters>10393</Characters>
  <Application>Microsoft Office Word</Application>
  <DocSecurity>0</DocSecurity>
  <Lines>247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Tim Howells</cp:lastModifiedBy>
  <cp:revision>15</cp:revision>
  <cp:lastPrinted>2020-01-13T12:11:00Z</cp:lastPrinted>
  <dcterms:created xsi:type="dcterms:W3CDTF">2025-11-26T11:09:00Z</dcterms:created>
  <dcterms:modified xsi:type="dcterms:W3CDTF">2025-11-26T11:27:00Z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