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9E38" w14:textId="3DE39C1B" w:rsidR="00902033" w:rsidRDefault="00902033" w:rsidP="006251D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:lang w:eastAsia="en-GB"/>
        </w:rPr>
        <w:drawing>
          <wp:anchor distT="0" distB="0" distL="114300" distR="114300" simplePos="0" relativeHeight="251658240" behindDoc="1" locked="0" layoutInCell="1" allowOverlap="1" wp14:anchorId="4C2856FF" wp14:editId="7BA5685E">
            <wp:simplePos x="0" y="0"/>
            <wp:positionH relativeFrom="column">
              <wp:posOffset>2194560</wp:posOffset>
            </wp:positionH>
            <wp:positionV relativeFrom="paragraph">
              <wp:posOffset>-495300</wp:posOffset>
            </wp:positionV>
            <wp:extent cx="2819400" cy="1272540"/>
            <wp:effectExtent l="0" t="0" r="0" b="3810"/>
            <wp:wrapNone/>
            <wp:docPr id="1443714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6AB7B" w14:textId="44C72C58" w:rsidR="00477CD2" w:rsidRPr="00477CD2" w:rsidRDefault="00477CD2" w:rsidP="006251D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Job Description</w:t>
      </w:r>
    </w:p>
    <w:p w14:paraId="0EAD30E7" w14:textId="25CFDF1F" w:rsidR="00477CD2" w:rsidRPr="00477CD2" w:rsidRDefault="00477CD2" w:rsidP="00477C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Title of post:</w:t>
      </w:r>
      <w:r w:rsidR="00902033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="00902033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Floating Support </w:t>
      </w:r>
      <w:r w:rsidR="000F5C00">
        <w:rPr>
          <w:rFonts w:eastAsia="Times New Roman" w:cs="Times New Roman"/>
          <w:kern w:val="0"/>
          <w:lang w:eastAsia="en-GB"/>
          <w14:ligatures w14:val="none"/>
        </w:rPr>
        <w:t xml:space="preserve">and 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Housing Worker</w:t>
      </w:r>
    </w:p>
    <w:p w14:paraId="2539CFA2" w14:textId="182DB1BE" w:rsidR="00477CD2" w:rsidRPr="00477CD2" w:rsidRDefault="00477CD2" w:rsidP="00477C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Location:</w:t>
      </w:r>
      <w:r w:rsidR="00902033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="00902033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Pr="00477CD2">
        <w:rPr>
          <w:rFonts w:eastAsia="Times New Roman" w:cs="Times New Roman"/>
          <w:kern w:val="0"/>
          <w:lang w:eastAsia="en-GB"/>
          <w14:ligatures w14:val="none"/>
        </w:rPr>
        <w:t>35 Salem Street, Bradford BD1 4QH</w:t>
      </w:r>
    </w:p>
    <w:p w14:paraId="35DF38CB" w14:textId="5B07A23C" w:rsidR="00477CD2" w:rsidRPr="00477CD2" w:rsidRDefault="00477CD2" w:rsidP="00477C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Responsible to:</w:t>
      </w:r>
      <w:r w:rsidR="00902033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Pr="00477CD2">
        <w:rPr>
          <w:rFonts w:eastAsia="Times New Roman" w:cs="Times New Roman"/>
          <w:kern w:val="0"/>
          <w:lang w:eastAsia="en-GB"/>
          <w14:ligatures w14:val="none"/>
        </w:rPr>
        <w:t>Senior Housing Officer</w:t>
      </w:r>
    </w:p>
    <w:p w14:paraId="4F928D66" w14:textId="4EAD07EE" w:rsidR="00477CD2" w:rsidRPr="00477CD2" w:rsidRDefault="00477CD2" w:rsidP="00477C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Salary:</w:t>
      </w:r>
      <w:r w:rsidR="00902033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="00902033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Pr="00477CD2">
        <w:rPr>
          <w:rFonts w:eastAsia="Times New Roman" w:cs="Times New Roman"/>
          <w:kern w:val="0"/>
          <w:lang w:eastAsia="en-GB"/>
          <w14:ligatures w14:val="none"/>
        </w:rPr>
        <w:t>£27,756 per annum</w:t>
      </w:r>
    </w:p>
    <w:p w14:paraId="44477119" w14:textId="6BAF1625" w:rsidR="00477CD2" w:rsidRPr="00477CD2" w:rsidRDefault="00477CD2" w:rsidP="00477C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Hours of Work:</w:t>
      </w:r>
      <w:r w:rsidR="00902033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="008221AA">
        <w:rPr>
          <w:rFonts w:eastAsia="Times New Roman" w:cs="Times New Roman"/>
          <w:kern w:val="0"/>
          <w:lang w:eastAsia="en-GB"/>
          <w14:ligatures w14:val="none"/>
        </w:rPr>
        <w:t xml:space="preserve">Full time: 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37.5 hours per week</w:t>
      </w:r>
      <w:r w:rsidR="008221AA">
        <w:rPr>
          <w:rFonts w:eastAsia="Times New Roman" w:cs="Times New Roman"/>
          <w:kern w:val="0"/>
          <w:lang w:eastAsia="en-GB"/>
          <w14:ligatures w14:val="none"/>
        </w:rPr>
        <w:t xml:space="preserve"> 9.30-5.30 Monday to Friday </w:t>
      </w:r>
    </w:p>
    <w:p w14:paraId="03CAAD45" w14:textId="6930DC07" w:rsidR="00477CD2" w:rsidRDefault="00477CD2" w:rsidP="00477CD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Contract:</w:t>
      </w:r>
      <w:r w:rsidR="00902033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="00902033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Pr="00477CD2">
        <w:rPr>
          <w:rFonts w:eastAsia="Times New Roman" w:cs="Times New Roman"/>
          <w:kern w:val="0"/>
          <w:lang w:eastAsia="en-GB"/>
          <w14:ligatures w14:val="none"/>
        </w:rPr>
        <w:t>Fixed term until 31 March 2026 (continuation depending on funding)</w:t>
      </w:r>
    </w:p>
    <w:p w14:paraId="4FED8CB1" w14:textId="77777777" w:rsidR="008221AA" w:rsidRPr="008221AA" w:rsidRDefault="008221AA" w:rsidP="008221AA">
      <w:pPr>
        <w:pStyle w:val="BodyText"/>
        <w:ind w:left="2160" w:hanging="2160"/>
        <w:jc w:val="both"/>
        <w:rPr>
          <w:rFonts w:asciiTheme="minorHAnsi" w:hAnsiTheme="minorHAnsi" w:cs="Calibri"/>
          <w:b w:val="0"/>
        </w:rPr>
      </w:pPr>
      <w:r w:rsidRPr="008221AA">
        <w:rPr>
          <w:rFonts w:asciiTheme="minorHAnsi" w:hAnsiTheme="minorHAnsi" w:cs="Calibri"/>
        </w:rPr>
        <w:t>Special Provisions:</w:t>
      </w:r>
      <w:r w:rsidRPr="008221AA">
        <w:rPr>
          <w:rFonts w:asciiTheme="minorHAnsi" w:hAnsiTheme="minorHAnsi" w:cs="Calibri"/>
          <w:b w:val="0"/>
        </w:rPr>
        <w:tab/>
        <w:t xml:space="preserve">The post is subject to enhanced disclosure and barring check, the results of which would not necessarily exclude applicants from consideration.  </w:t>
      </w:r>
    </w:p>
    <w:p w14:paraId="673B49ED" w14:textId="77777777" w:rsidR="008221AA" w:rsidRPr="008221AA" w:rsidRDefault="008221AA" w:rsidP="008221AA">
      <w:pPr>
        <w:pStyle w:val="BodyText"/>
        <w:ind w:left="2160" w:hanging="2160"/>
        <w:jc w:val="both"/>
        <w:rPr>
          <w:rFonts w:asciiTheme="minorHAnsi" w:hAnsiTheme="minorHAnsi" w:cs="Calibri"/>
          <w:b w:val="0"/>
        </w:rPr>
      </w:pPr>
      <w:r w:rsidRPr="008221AA">
        <w:rPr>
          <w:rFonts w:asciiTheme="minorHAnsi" w:hAnsiTheme="minorHAnsi" w:cs="Calibri"/>
          <w:b w:val="0"/>
        </w:rPr>
        <w:tab/>
      </w:r>
    </w:p>
    <w:p w14:paraId="688FEAF4" w14:textId="581069E6" w:rsidR="008221AA" w:rsidRPr="008221AA" w:rsidRDefault="008221AA" w:rsidP="008221AA">
      <w:pPr>
        <w:pStyle w:val="BodyText"/>
        <w:ind w:left="2160"/>
        <w:jc w:val="both"/>
        <w:rPr>
          <w:rFonts w:asciiTheme="minorHAnsi" w:hAnsiTheme="minorHAnsi" w:cs="Calibri"/>
          <w:b w:val="0"/>
        </w:rPr>
      </w:pPr>
      <w:r w:rsidRPr="008221AA">
        <w:rPr>
          <w:rFonts w:asciiTheme="minorHAnsi" w:hAnsiTheme="minorHAnsi" w:cs="Calibri"/>
          <w:b w:val="0"/>
        </w:rPr>
        <w:t xml:space="preserve">This post requires </w:t>
      </w:r>
      <w:r w:rsidR="00902033">
        <w:rPr>
          <w:rFonts w:asciiTheme="minorHAnsi" w:hAnsiTheme="minorHAnsi" w:cs="Calibri"/>
          <w:b w:val="0"/>
        </w:rPr>
        <w:t xml:space="preserve">a </w:t>
      </w:r>
      <w:r w:rsidRPr="008221AA">
        <w:rPr>
          <w:rFonts w:asciiTheme="minorHAnsi" w:hAnsiTheme="minorHAnsi" w:cs="Calibri"/>
          <w:b w:val="0"/>
        </w:rPr>
        <w:t>full driving licence and use of a vehicle.</w:t>
      </w:r>
    </w:p>
    <w:p w14:paraId="0A789876" w14:textId="77777777" w:rsidR="00477CD2" w:rsidRPr="00477CD2" w:rsidRDefault="00477CD2" w:rsidP="00477C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OVERVIEW</w:t>
      </w:r>
    </w:p>
    <w:p w14:paraId="206D78C0" w14:textId="3FE97A0F" w:rsidR="00537328" w:rsidRPr="00537328" w:rsidRDefault="00477CD2" w:rsidP="00477CD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>Bridge Recovery Housing provides individual homes, support and a high-quality housing management service for service users including survivors of domestic abuse, some of whom are involved in sex working and/or are engaged in the Bradford RESET programme. RESET is a trauma-informed programme led by Bridge</w:t>
      </w:r>
      <w:r w:rsidR="00902033">
        <w:rPr>
          <w:rFonts w:eastAsia="Times New Roman" w:cs="Times New Roman"/>
          <w:kern w:val="0"/>
          <w:lang w:eastAsia="en-GB"/>
          <w14:ligatures w14:val="none"/>
        </w:rPr>
        <w:t>,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 that works with people </w:t>
      </w:r>
      <w:r w:rsidR="00537328" w:rsidRPr="00537328">
        <w:rPr>
          <w:rFonts w:cs="Calibri"/>
        </w:rPr>
        <w:t>who have caused or who are causing harm in their intimate and/ or family relationships</w:t>
      </w:r>
      <w:r w:rsidR="00537328">
        <w:rPr>
          <w:rFonts w:cs="Calibri"/>
        </w:rPr>
        <w:t>.</w:t>
      </w:r>
    </w:p>
    <w:p w14:paraId="1E9A2A89" w14:textId="2ADCF03F" w:rsidR="00477CD2" w:rsidRPr="00477CD2" w:rsidRDefault="00477CD2" w:rsidP="00477CD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This role will work exclusively under the direction of the </w:t>
      </w: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Senior Housing Officer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 and will be allocated cases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solely 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involving </w:t>
      </w: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survivors of domestic abuse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referred internally to Bridge Recovery Homes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. The postholder will offer intensive, trauma-informed support to survivors to help them maintain stability and safety in their accommodation, and to work towards long-term independence.</w:t>
      </w:r>
    </w:p>
    <w:p w14:paraId="12FA8B6F" w14:textId="51472E8B" w:rsidR="00477CD2" w:rsidRPr="00477CD2" w:rsidRDefault="00477CD2" w:rsidP="00477C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THE ROLE</w:t>
      </w:r>
    </w:p>
    <w:p w14:paraId="30C3D03B" w14:textId="3817946A" w:rsidR="00477CD2" w:rsidRPr="00477CD2" w:rsidRDefault="00477CD2" w:rsidP="00477CD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Floating Support </w:t>
      </w:r>
      <w:r w:rsidR="00902033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and </w:t>
      </w: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Housing Worker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 will support survivors of domestic abuse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some with experience of sex working or involvement in the RESET programme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helping them maintain their tenancy and achieve personal goals. The role will include intensive housing-related support, delivered in close coordination with Bridge Housing Officers, Navigation Workers, and Family Case Workers.</w:t>
      </w:r>
    </w:p>
    <w:p w14:paraId="63183608" w14:textId="40354D18" w:rsidR="00477CD2" w:rsidRPr="00477CD2" w:rsidRDefault="00477CD2" w:rsidP="00477CD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The focus will be on </w:t>
      </w: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supporting stability, safety, and security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, working toward</w:t>
      </w:r>
      <w:r w:rsidR="00842F14">
        <w:rPr>
          <w:rFonts w:eastAsia="Times New Roman" w:cs="Times New Roman"/>
          <w:kern w:val="0"/>
          <w:lang w:eastAsia="en-GB"/>
          <w14:ligatures w14:val="none"/>
        </w:rPr>
        <w:t>s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move-on accommodation, volunteering, training, and employment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 once the survivor’s situation has stabilised.</w:t>
      </w:r>
    </w:p>
    <w:p w14:paraId="00086F3D" w14:textId="77777777" w:rsidR="00477CD2" w:rsidRPr="00477CD2" w:rsidRDefault="00477CD2" w:rsidP="00477C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Key Duties and Responsibilities</w:t>
      </w:r>
    </w:p>
    <w:p w14:paraId="5EA0338D" w14:textId="053F0E68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Work under the daily direction of the Senior Housing Officer, who will allocate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support for their 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cases and task priorities.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42E69180" w14:textId="76E249D4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>Deliver trauma-informed and psychologically informed support, tailored to the complex needs of survivors of domestic abuse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in coordination with others involved in their care. </w:t>
      </w:r>
    </w:p>
    <w:p w14:paraId="2268A47B" w14:textId="2DF9E8F8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Contribute to the Housing Management Plan and their core service 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support plans with survivors to help them maintain their tenancy and recover from trauma.</w:t>
      </w:r>
    </w:p>
    <w:p w14:paraId="237AD961" w14:textId="0440349D" w:rsid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Liaise closely with Bridge Navigation Workers, Family Case Workers, </w:t>
      </w:r>
      <w:r w:rsidR="007C5731">
        <w:rPr>
          <w:rFonts w:eastAsia="Times New Roman" w:cs="Times New Roman"/>
          <w:kern w:val="0"/>
          <w:lang w:eastAsia="en-GB"/>
          <w14:ligatures w14:val="none"/>
        </w:rPr>
        <w:t xml:space="preserve">IDVA as relevant 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and Housing Officer to coordinate holistic, joined-up support.</w:t>
      </w:r>
    </w:p>
    <w:p w14:paraId="04FC784C" w14:textId="2E2F2BD9" w:rsidR="007C5731" w:rsidRPr="00477CD2" w:rsidRDefault="007C5731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Provide consistent support around in home and out of home safety measures</w:t>
      </w:r>
      <w:r w:rsidR="001A15AB">
        <w:rPr>
          <w:rFonts w:eastAsia="Times New Roman" w:cs="Times New Roman"/>
          <w:kern w:val="0"/>
          <w:lang w:eastAsia="en-GB"/>
          <w14:ligatures w14:val="none"/>
        </w:rPr>
        <w:t>.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3AF217C9" w14:textId="62B2023D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>Assist survivors in developing the skills to live independently, including support with budgeting, benefits, and life skills</w:t>
      </w:r>
      <w:r w:rsidR="001A15AB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748740AD" w14:textId="2DFAD5AA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Provide intensive </w:t>
      </w:r>
      <w:r w:rsidR="007C5731">
        <w:rPr>
          <w:rFonts w:eastAsia="Times New Roman" w:cs="Times New Roman"/>
          <w:kern w:val="0"/>
          <w:lang w:eastAsia="en-GB"/>
          <w14:ligatures w14:val="none"/>
        </w:rPr>
        <w:t xml:space="preserve">support and 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housing-related contact and support visits in the community and in survivors’ homes.</w:t>
      </w:r>
    </w:p>
    <w:p w14:paraId="03C911B5" w14:textId="620CD944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Support survivors to explore safe and suitable </w:t>
      </w: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move-on options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 as part of their recovery journe</w:t>
      </w:r>
      <w:r w:rsidR="007C5731">
        <w:rPr>
          <w:rFonts w:eastAsia="Times New Roman" w:cs="Times New Roman"/>
          <w:kern w:val="0"/>
          <w:lang w:eastAsia="en-GB"/>
          <w14:ligatures w14:val="none"/>
        </w:rPr>
        <w:t>y in coordination with the Housing Officer</w:t>
      </w:r>
      <w:r w:rsidR="001A15AB">
        <w:rPr>
          <w:rFonts w:eastAsia="Times New Roman" w:cs="Times New Roman"/>
          <w:kern w:val="0"/>
          <w:lang w:eastAsia="en-GB"/>
          <w14:ligatures w14:val="none"/>
        </w:rPr>
        <w:t>.</w:t>
      </w:r>
      <w:r w:rsidR="007C5731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53B8ECBF" w14:textId="77777777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Help identify and remove barriers to </w:t>
      </w:r>
      <w:r w:rsidRPr="00477CD2">
        <w:rPr>
          <w:rFonts w:eastAsia="Times New Roman" w:cs="Times New Roman"/>
          <w:b/>
          <w:bCs/>
          <w:kern w:val="0"/>
          <w:lang w:eastAsia="en-GB"/>
          <w14:ligatures w14:val="none"/>
        </w:rPr>
        <w:t>volunteering, education, training and employment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, as appropriate.</w:t>
      </w:r>
    </w:p>
    <w:p w14:paraId="785F4ABA" w14:textId="00F32F45" w:rsidR="00477CD2" w:rsidRPr="00477CD2" w:rsidRDefault="007C5731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Work with family worker / navigators to support </w:t>
      </w:r>
      <w:r w:rsidR="00477CD2" w:rsidRPr="00477CD2">
        <w:rPr>
          <w:rFonts w:eastAsia="Times New Roman" w:cs="Times New Roman"/>
          <w:kern w:val="0"/>
          <w:lang w:eastAsia="en-GB"/>
          <w14:ligatures w14:val="none"/>
        </w:rPr>
        <w:t xml:space="preserve">survivors to </w:t>
      </w:r>
      <w:r w:rsidR="001A15AB">
        <w:rPr>
          <w:rFonts w:eastAsia="Times New Roman" w:cs="Times New Roman"/>
          <w:kern w:val="0"/>
          <w:lang w:eastAsia="en-GB"/>
          <w14:ligatures w14:val="none"/>
        </w:rPr>
        <w:t xml:space="preserve">access </w:t>
      </w:r>
      <w:r w:rsidR="00477CD2" w:rsidRPr="00477CD2">
        <w:rPr>
          <w:rFonts w:eastAsia="Times New Roman" w:cs="Times New Roman"/>
          <w:kern w:val="0"/>
          <w:lang w:eastAsia="en-GB"/>
          <w14:ligatures w14:val="none"/>
        </w:rPr>
        <w:t>additional community services including specialist trauma recovery, mental health support, and welfare advocacy.</w:t>
      </w:r>
    </w:p>
    <w:p w14:paraId="7AC2BE9F" w14:textId="77777777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>Advocate on behalf of survivors with landlords, statutory services, and other agencies.</w:t>
      </w:r>
    </w:p>
    <w:p w14:paraId="1C17E01C" w14:textId="2AAE9B97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>Promote safeguarding at all times, responding to</w:t>
      </w:r>
      <w:r w:rsidR="007C5731">
        <w:rPr>
          <w:rFonts w:eastAsia="Times New Roman" w:cs="Times New Roman"/>
          <w:kern w:val="0"/>
          <w:lang w:eastAsia="en-GB"/>
          <w14:ligatures w14:val="none"/>
        </w:rPr>
        <w:t>,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 and escalating concerns in line with Bridge procedures.</w:t>
      </w:r>
    </w:p>
    <w:p w14:paraId="5AFD5FDF" w14:textId="0A858BC8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 xml:space="preserve">Maintain clear, factual, strengths-based records on </w:t>
      </w:r>
      <w:r w:rsidR="007C5731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 w:rsidRPr="00477CD2">
        <w:rPr>
          <w:rFonts w:eastAsia="Times New Roman" w:cs="Times New Roman"/>
          <w:kern w:val="0"/>
          <w:lang w:eastAsia="en-GB"/>
          <w14:ligatures w14:val="none"/>
        </w:rPr>
        <w:t>digital case management system.</w:t>
      </w:r>
    </w:p>
    <w:p w14:paraId="3C3A8FF1" w14:textId="77777777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t>Ensure survivors are tenancy-ready, including support around rights, responsibilities, and tenancy sustainment strategies.</w:t>
      </w:r>
    </w:p>
    <w:p w14:paraId="2DB0EED0" w14:textId="77777777" w:rsidR="00477CD2" w:rsidRPr="00477CD2" w:rsidRDefault="00477CD2" w:rsidP="0047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477CD2">
        <w:rPr>
          <w:rFonts w:eastAsia="Times New Roman" w:cs="Times New Roman"/>
          <w:kern w:val="0"/>
          <w:lang w:eastAsia="en-GB"/>
          <w14:ligatures w14:val="none"/>
        </w:rPr>
        <w:lastRenderedPageBreak/>
        <w:t>Support survivors through transitions, including when moving on from temporary or supported accommodation.</w:t>
      </w:r>
    </w:p>
    <w:p w14:paraId="0DBCF92E" w14:textId="77777777" w:rsidR="007C5731" w:rsidRPr="007C5731" w:rsidRDefault="007C5731" w:rsidP="007C5731">
      <w:pPr>
        <w:ind w:left="-5"/>
        <w:rPr>
          <w:rFonts w:cs="Arial"/>
        </w:rPr>
      </w:pPr>
      <w:r w:rsidRPr="007C5731">
        <w:rPr>
          <w:rFonts w:cs="Arial"/>
        </w:rPr>
        <w:t xml:space="preserve">You will be required to: </w:t>
      </w:r>
    </w:p>
    <w:p w14:paraId="25B012BC" w14:textId="77777777" w:rsidR="007C5731" w:rsidRPr="007C5731" w:rsidRDefault="007C5731" w:rsidP="00902033">
      <w:pPr>
        <w:numPr>
          <w:ilvl w:val="0"/>
          <w:numId w:val="4"/>
        </w:numPr>
        <w:spacing w:after="0" w:line="268" w:lineRule="auto"/>
        <w:ind w:hanging="161"/>
        <w:rPr>
          <w:rFonts w:cs="Arial"/>
        </w:rPr>
      </w:pPr>
      <w:r w:rsidRPr="007C5731">
        <w:rPr>
          <w:rFonts w:cs="Arial"/>
        </w:rPr>
        <w:t xml:space="preserve">Work flexible hours to meet service user and business needs, which may not include normal office hours. </w:t>
      </w:r>
    </w:p>
    <w:p w14:paraId="6ECB7289" w14:textId="5D01E05F" w:rsidR="007C5731" w:rsidRDefault="007C5731" w:rsidP="00902033">
      <w:pPr>
        <w:numPr>
          <w:ilvl w:val="0"/>
          <w:numId w:val="4"/>
        </w:numPr>
        <w:spacing w:after="0" w:line="268" w:lineRule="auto"/>
        <w:ind w:hanging="161"/>
        <w:rPr>
          <w:rFonts w:cs="Arial"/>
        </w:rPr>
      </w:pPr>
      <w:r w:rsidRPr="007C5731">
        <w:rPr>
          <w:rFonts w:cs="Arial"/>
        </w:rPr>
        <w:t>Travel to service users’ homes within an identified geographical area</w:t>
      </w:r>
      <w:r>
        <w:rPr>
          <w:rFonts w:cs="Arial"/>
        </w:rPr>
        <w:t xml:space="preserve"> and transport service users as and when needed</w:t>
      </w:r>
      <w:r w:rsidRPr="007C5731">
        <w:rPr>
          <w:rFonts w:cs="Arial"/>
        </w:rPr>
        <w:t xml:space="preserve">. </w:t>
      </w:r>
    </w:p>
    <w:p w14:paraId="6B93BF2A" w14:textId="77777777" w:rsidR="00902033" w:rsidRPr="00902033" w:rsidRDefault="007C5731" w:rsidP="00902033">
      <w:pPr>
        <w:numPr>
          <w:ilvl w:val="0"/>
          <w:numId w:val="4"/>
        </w:numPr>
        <w:spacing w:before="100" w:beforeAutospacing="1" w:after="0" w:line="240" w:lineRule="auto"/>
        <w:ind w:hanging="161"/>
        <w:rPr>
          <w:rFonts w:eastAsia="Times New Roman" w:cs="Times New Roman"/>
          <w:kern w:val="0"/>
          <w:lang w:eastAsia="en-GB"/>
          <w14:ligatures w14:val="none"/>
        </w:rPr>
      </w:pPr>
      <w:r w:rsidRPr="00902033">
        <w:rPr>
          <w:rFonts w:cs="Arial"/>
        </w:rPr>
        <w:t xml:space="preserve">Use the Solo Protect lone worker system as and when necessary. </w:t>
      </w:r>
    </w:p>
    <w:p w14:paraId="5878E14B" w14:textId="3C60E090" w:rsidR="006251DC" w:rsidRPr="00902033" w:rsidRDefault="007C5731" w:rsidP="00902033">
      <w:pPr>
        <w:numPr>
          <w:ilvl w:val="0"/>
          <w:numId w:val="4"/>
        </w:numPr>
        <w:spacing w:before="100" w:beforeAutospacing="1" w:after="0" w:line="240" w:lineRule="auto"/>
        <w:ind w:hanging="161"/>
        <w:rPr>
          <w:rFonts w:eastAsia="Times New Roman" w:cs="Times New Roman"/>
          <w:kern w:val="0"/>
          <w:lang w:eastAsia="en-GB"/>
          <w14:ligatures w14:val="none"/>
        </w:rPr>
      </w:pPr>
      <w:r w:rsidRPr="00902033">
        <w:rPr>
          <w:rFonts w:cs="Arial"/>
        </w:rPr>
        <w:t xml:space="preserve">Ensure service users are safe at all times - carrying out all of your duties within Bridge’s Policy and Procedure framework e.g. health &amp; safety, safeguarding, GDPR, cash handling, etc. </w:t>
      </w:r>
    </w:p>
    <w:p w14:paraId="576ED929" w14:textId="77777777" w:rsidR="006251DC" w:rsidRPr="006251DC" w:rsidRDefault="007C5731" w:rsidP="00902033">
      <w:pPr>
        <w:numPr>
          <w:ilvl w:val="0"/>
          <w:numId w:val="4"/>
        </w:numPr>
        <w:spacing w:before="100" w:beforeAutospacing="1" w:after="0" w:line="240" w:lineRule="auto"/>
        <w:ind w:hanging="161"/>
        <w:rPr>
          <w:rFonts w:eastAsia="Times New Roman" w:cs="Times New Roman"/>
          <w:kern w:val="0"/>
          <w:lang w:eastAsia="en-GB"/>
          <w14:ligatures w14:val="none"/>
        </w:rPr>
      </w:pPr>
      <w:r w:rsidRPr="006251DC">
        <w:rPr>
          <w:rFonts w:cs="Arial"/>
        </w:rPr>
        <w:t xml:space="preserve">Undertake regular training and take responsibility for your own continuous development to enable you to deliver your role safely. </w:t>
      </w:r>
    </w:p>
    <w:p w14:paraId="3FF28E7C" w14:textId="6D408F19" w:rsidR="00902033" w:rsidRPr="00902033" w:rsidRDefault="007C5731" w:rsidP="00902033">
      <w:pPr>
        <w:numPr>
          <w:ilvl w:val="0"/>
          <w:numId w:val="4"/>
        </w:numPr>
        <w:spacing w:before="100" w:beforeAutospacing="1" w:after="0" w:line="268" w:lineRule="auto"/>
        <w:ind w:hanging="161"/>
        <w:rPr>
          <w:rFonts w:cs="Arial"/>
        </w:rPr>
      </w:pPr>
      <w:r w:rsidRPr="00902033">
        <w:rPr>
          <w:rFonts w:eastAsia="Times New Roman" w:cs="Times New Roman"/>
          <w:kern w:val="0"/>
          <w:lang w:eastAsia="en-GB"/>
          <w14:ligatures w14:val="none"/>
        </w:rPr>
        <w:t>Participate in team meetings, supervisions, reflective practice and training as required.</w:t>
      </w:r>
    </w:p>
    <w:p w14:paraId="15F72D92" w14:textId="0C690AAA" w:rsidR="007C5731" w:rsidRDefault="007C5731" w:rsidP="00902033">
      <w:pPr>
        <w:numPr>
          <w:ilvl w:val="0"/>
          <w:numId w:val="4"/>
        </w:numPr>
        <w:spacing w:before="100" w:beforeAutospacing="1" w:after="0" w:line="268" w:lineRule="auto"/>
        <w:ind w:hanging="161"/>
        <w:rPr>
          <w:rFonts w:cs="Arial"/>
        </w:rPr>
      </w:pPr>
      <w:r w:rsidRPr="006251DC">
        <w:rPr>
          <w:rFonts w:cs="Arial"/>
        </w:rPr>
        <w:t>From time to time, you may be required to undertake additional duties and responsibilities in consultation with your Line Manager</w:t>
      </w:r>
      <w:r w:rsidR="001A15AB">
        <w:rPr>
          <w:rFonts w:cs="Arial"/>
        </w:rPr>
        <w:t>.</w:t>
      </w:r>
      <w:r w:rsidRPr="006251DC">
        <w:rPr>
          <w:rFonts w:cs="Arial"/>
        </w:rPr>
        <w:t xml:space="preserve"> </w:t>
      </w:r>
    </w:p>
    <w:p w14:paraId="07C5096F" w14:textId="77777777" w:rsidR="000F5C00" w:rsidRDefault="000F5C00" w:rsidP="000F5C00">
      <w:pPr>
        <w:spacing w:before="100" w:beforeAutospacing="1" w:after="248" w:afterAutospacing="1" w:line="268" w:lineRule="auto"/>
        <w:rPr>
          <w:rFonts w:cs="Arial"/>
        </w:rPr>
      </w:pPr>
    </w:p>
    <w:p w14:paraId="44DB1EAD" w14:textId="77777777" w:rsidR="000F5C00" w:rsidRDefault="000F5C00" w:rsidP="000F5C00">
      <w:pPr>
        <w:spacing w:before="100" w:beforeAutospacing="1" w:after="248" w:afterAutospacing="1" w:line="268" w:lineRule="auto"/>
        <w:rPr>
          <w:rFonts w:cs="Arial"/>
        </w:rPr>
      </w:pPr>
    </w:p>
    <w:p w14:paraId="7316537C" w14:textId="77777777" w:rsidR="000F5C00" w:rsidRDefault="000F5C00" w:rsidP="000F5C00">
      <w:pPr>
        <w:spacing w:before="100" w:beforeAutospacing="1" w:after="248" w:afterAutospacing="1" w:line="268" w:lineRule="auto"/>
        <w:rPr>
          <w:rFonts w:cs="Arial"/>
        </w:rPr>
      </w:pPr>
    </w:p>
    <w:p w14:paraId="66656412" w14:textId="77777777" w:rsidR="000F5C00" w:rsidRDefault="000F5C00" w:rsidP="000F5C00">
      <w:pPr>
        <w:spacing w:before="100" w:beforeAutospacing="1" w:after="248" w:afterAutospacing="1" w:line="268" w:lineRule="auto"/>
        <w:rPr>
          <w:rFonts w:cs="Arial"/>
        </w:rPr>
      </w:pPr>
    </w:p>
    <w:p w14:paraId="1C8848F0" w14:textId="77777777" w:rsidR="000F5C00" w:rsidRDefault="000F5C00" w:rsidP="000F5C00">
      <w:pPr>
        <w:spacing w:before="100" w:beforeAutospacing="1" w:after="248" w:afterAutospacing="1" w:line="268" w:lineRule="auto"/>
        <w:rPr>
          <w:rFonts w:cs="Arial"/>
        </w:rPr>
      </w:pPr>
    </w:p>
    <w:p w14:paraId="718BF1AD" w14:textId="77777777" w:rsidR="000F5C00" w:rsidRDefault="000F5C00" w:rsidP="000F5C00">
      <w:pPr>
        <w:spacing w:before="100" w:beforeAutospacing="1" w:after="248" w:afterAutospacing="1" w:line="268" w:lineRule="auto"/>
        <w:rPr>
          <w:rFonts w:cs="Arial"/>
        </w:rPr>
      </w:pPr>
    </w:p>
    <w:p w14:paraId="05733EF4" w14:textId="77777777" w:rsidR="000F5C00" w:rsidRDefault="000F5C00" w:rsidP="00902033">
      <w:pPr>
        <w:spacing w:before="100" w:beforeAutospacing="1" w:after="100" w:afterAutospacing="1" w:line="268" w:lineRule="auto"/>
        <w:rPr>
          <w:rFonts w:cs="Arial"/>
        </w:rPr>
      </w:pPr>
    </w:p>
    <w:p w14:paraId="1B35DF86" w14:textId="77777777" w:rsidR="00902033" w:rsidRDefault="00902033" w:rsidP="00902033">
      <w:pPr>
        <w:spacing w:before="100" w:beforeAutospacing="1" w:after="100" w:afterAutospacing="1" w:line="268" w:lineRule="auto"/>
        <w:rPr>
          <w:rFonts w:cs="Arial"/>
        </w:rPr>
      </w:pPr>
    </w:p>
    <w:tbl>
      <w:tblPr>
        <w:tblStyle w:val="TableGrid"/>
        <w:tblW w:w="14611" w:type="dxa"/>
        <w:tblInd w:w="-925" w:type="dxa"/>
        <w:tblCellMar>
          <w:top w:w="21" w:type="dxa"/>
          <w:right w:w="62" w:type="dxa"/>
        </w:tblCellMar>
        <w:tblLook w:val="04A0" w:firstRow="1" w:lastRow="0" w:firstColumn="1" w:lastColumn="0" w:noHBand="0" w:noVBand="1"/>
      </w:tblPr>
      <w:tblGrid>
        <w:gridCol w:w="3129"/>
        <w:gridCol w:w="828"/>
        <w:gridCol w:w="4913"/>
        <w:gridCol w:w="829"/>
        <w:gridCol w:w="4912"/>
      </w:tblGrid>
      <w:tr w:rsidR="00E4438C" w:rsidRPr="00E4438C" w14:paraId="02943768" w14:textId="77777777" w:rsidTr="00902C3A">
        <w:trPr>
          <w:trHeight w:val="73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0AC2A" w14:textId="77777777" w:rsidR="000F5C00" w:rsidRPr="00E4438C" w:rsidRDefault="000F5C00" w:rsidP="00902C3A">
            <w:pPr>
              <w:spacing w:line="259" w:lineRule="auto"/>
              <w:ind w:left="107"/>
              <w:rPr>
                <w:rFonts w:cs="Arial"/>
              </w:rPr>
            </w:pPr>
            <w:r w:rsidRPr="00E4438C">
              <w:rPr>
                <w:rFonts w:cs="Arial"/>
                <w:b/>
              </w:rPr>
              <w:lastRenderedPageBreak/>
              <w:t xml:space="preserve">Person Specification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46985FA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57C91" w14:textId="77777777" w:rsidR="000F5C00" w:rsidRPr="00E4438C" w:rsidRDefault="000F5C00" w:rsidP="00902C3A">
            <w:pPr>
              <w:spacing w:line="259" w:lineRule="auto"/>
              <w:ind w:left="1676"/>
              <w:rPr>
                <w:rFonts w:cs="Arial"/>
              </w:rPr>
            </w:pPr>
            <w:r w:rsidRPr="00E4438C">
              <w:rPr>
                <w:rFonts w:cs="Arial"/>
                <w:b/>
              </w:rPr>
              <w:t xml:space="preserve">Essential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7C8C216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CA7FC3" w14:textId="77777777" w:rsidR="000F5C00" w:rsidRPr="00E4438C" w:rsidRDefault="000F5C00" w:rsidP="00902C3A">
            <w:pPr>
              <w:spacing w:line="259" w:lineRule="auto"/>
              <w:ind w:left="1651"/>
              <w:rPr>
                <w:rFonts w:cs="Arial"/>
              </w:rPr>
            </w:pPr>
            <w:r w:rsidRPr="00E4438C">
              <w:rPr>
                <w:rFonts w:cs="Arial"/>
                <w:b/>
              </w:rPr>
              <w:t>Desirable</w:t>
            </w:r>
            <w:r w:rsidRPr="00E4438C">
              <w:rPr>
                <w:rFonts w:cs="Arial"/>
              </w:rPr>
              <w:t xml:space="preserve"> </w:t>
            </w:r>
          </w:p>
        </w:tc>
      </w:tr>
      <w:tr w:rsidR="000F5C00" w:rsidRPr="00E4438C" w14:paraId="6B66506C" w14:textId="77777777" w:rsidTr="00902C3A">
        <w:trPr>
          <w:trHeight w:val="66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3C3C74" w14:textId="77777777" w:rsidR="000F5C00" w:rsidRPr="00E4438C" w:rsidRDefault="000F5C00" w:rsidP="00902C3A">
            <w:pPr>
              <w:spacing w:line="259" w:lineRule="auto"/>
              <w:ind w:left="107"/>
              <w:rPr>
                <w:rFonts w:cs="Arial"/>
                <w:b/>
              </w:rPr>
            </w:pPr>
            <w:r w:rsidRPr="00E4438C">
              <w:rPr>
                <w:rFonts w:cs="Arial"/>
                <w:b/>
              </w:rPr>
              <w:t xml:space="preserve">Qualifications </w:t>
            </w:r>
          </w:p>
          <w:p w14:paraId="2D1630DC" w14:textId="77777777" w:rsidR="000F5C00" w:rsidRPr="00E4438C" w:rsidRDefault="000F5C00" w:rsidP="00902C3A">
            <w:pPr>
              <w:spacing w:line="259" w:lineRule="auto"/>
              <w:ind w:left="107"/>
              <w:rPr>
                <w:rFonts w:cs="Arial"/>
                <w:b/>
              </w:rPr>
            </w:pPr>
          </w:p>
          <w:p w14:paraId="0B1E42E9" w14:textId="77777777" w:rsidR="000F5C00" w:rsidRPr="00E4438C" w:rsidRDefault="000F5C00" w:rsidP="00902C3A">
            <w:pPr>
              <w:spacing w:line="259" w:lineRule="auto"/>
              <w:ind w:left="107"/>
              <w:rPr>
                <w:rFonts w:cs="Aria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9ABFB" w14:textId="77777777" w:rsidR="000F5C00" w:rsidRPr="00E4438C" w:rsidRDefault="000F5C00" w:rsidP="00902C3A">
            <w:pPr>
              <w:spacing w:line="259" w:lineRule="auto"/>
              <w:ind w:left="261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</w:tc>
        <w:tc>
          <w:tcPr>
            <w:tcW w:w="4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783A7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  <w:r w:rsidRPr="00E4438C">
              <w:rPr>
                <w:rFonts w:cs="Arial"/>
              </w:rPr>
              <w:t xml:space="preserve">Readiness to complete training as appropriate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29990" w14:textId="77777777" w:rsidR="000F5C00" w:rsidRPr="00E4438C" w:rsidRDefault="000F5C00" w:rsidP="00902C3A">
            <w:pPr>
              <w:spacing w:line="259" w:lineRule="auto"/>
              <w:ind w:left="263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9FD14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  <w:r w:rsidRPr="00E4438C">
              <w:rPr>
                <w:rFonts w:cs="Arial"/>
              </w:rPr>
              <w:t xml:space="preserve">Relevant housing qualification or equivalent. </w:t>
            </w:r>
          </w:p>
          <w:p w14:paraId="240EEB51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  <w:r w:rsidRPr="00E4438C">
              <w:rPr>
                <w:rFonts w:cs="Arial"/>
              </w:rPr>
              <w:t xml:space="preserve"> </w:t>
            </w:r>
          </w:p>
        </w:tc>
      </w:tr>
      <w:tr w:rsidR="000F5C00" w:rsidRPr="00E4438C" w14:paraId="1D925749" w14:textId="77777777" w:rsidTr="00902C3A">
        <w:trPr>
          <w:trHeight w:val="158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2842CF" w14:textId="77777777" w:rsidR="000F5C00" w:rsidRPr="00E4438C" w:rsidRDefault="000F5C00" w:rsidP="00902C3A">
            <w:pPr>
              <w:spacing w:line="259" w:lineRule="auto"/>
              <w:ind w:left="107"/>
              <w:rPr>
                <w:rFonts w:cs="Arial"/>
              </w:rPr>
            </w:pPr>
            <w:r w:rsidRPr="00E4438C">
              <w:rPr>
                <w:rFonts w:cs="Arial"/>
                <w:b/>
              </w:rPr>
              <w:t xml:space="preserve">Experience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7D78A" w14:textId="77777777" w:rsidR="000F5C00" w:rsidRPr="00E4438C" w:rsidRDefault="000F5C00" w:rsidP="00902C3A">
            <w:pPr>
              <w:spacing w:after="204" w:line="259" w:lineRule="auto"/>
              <w:ind w:left="261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  <w:p w14:paraId="1A34A8E5" w14:textId="77777777" w:rsidR="000F5C00" w:rsidRPr="00E4438C" w:rsidRDefault="000F5C00" w:rsidP="00902C3A">
            <w:pPr>
              <w:spacing w:line="259" w:lineRule="auto"/>
              <w:ind w:left="215"/>
              <w:jc w:val="center"/>
              <w:rPr>
                <w:rFonts w:cs="Arial"/>
              </w:rPr>
            </w:pPr>
            <w:r w:rsidRPr="00E4438C">
              <w:rPr>
                <w:rFonts w:cs="Arial"/>
              </w:rPr>
              <w:t xml:space="preserve"> </w:t>
            </w:r>
          </w:p>
        </w:tc>
        <w:tc>
          <w:tcPr>
            <w:tcW w:w="4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011E9" w14:textId="46633495" w:rsidR="000F5C00" w:rsidRPr="00E4438C" w:rsidRDefault="000F5C00" w:rsidP="00902C3A">
            <w:pPr>
              <w:spacing w:line="259" w:lineRule="auto"/>
              <w:jc w:val="both"/>
              <w:rPr>
                <w:rFonts w:cs="Arial"/>
              </w:rPr>
            </w:pPr>
            <w:r w:rsidRPr="00E4438C">
              <w:rPr>
                <w:rFonts w:cs="Arial"/>
              </w:rPr>
              <w:t xml:space="preserve">At least 12 months experience of supporting service users who have experienced domestic </w:t>
            </w:r>
            <w:r w:rsidR="00E4438C" w:rsidRPr="00E4438C">
              <w:rPr>
                <w:rFonts w:cs="Arial"/>
              </w:rPr>
              <w:t>abuse and</w:t>
            </w:r>
            <w:r w:rsidRPr="00E4438C">
              <w:rPr>
                <w:rFonts w:cs="Arial"/>
              </w:rPr>
              <w:t xml:space="preserve">/or other high levels of vulnerability ideally in a housing context.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C04BE" w14:textId="77777777" w:rsidR="000F5C00" w:rsidRPr="00E4438C" w:rsidRDefault="000F5C00" w:rsidP="00902C3A">
            <w:pPr>
              <w:spacing w:after="204" w:line="259" w:lineRule="auto"/>
              <w:ind w:left="263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  <w:p w14:paraId="7C4EB27B" w14:textId="77777777" w:rsidR="000F5C00" w:rsidRPr="00E4438C" w:rsidRDefault="000F5C00" w:rsidP="00902C3A">
            <w:pPr>
              <w:spacing w:line="259" w:lineRule="auto"/>
              <w:ind w:left="216"/>
              <w:jc w:val="center"/>
              <w:rPr>
                <w:rFonts w:cs="Arial"/>
              </w:rPr>
            </w:pPr>
            <w:r w:rsidRPr="00E4438C">
              <w:rPr>
                <w:rFonts w:cs="Arial"/>
              </w:rPr>
              <w:t xml:space="preserve"> </w:t>
            </w: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CD668" w14:textId="616F2D74" w:rsidR="000F5C00" w:rsidRPr="00E4438C" w:rsidRDefault="000F5C00" w:rsidP="00902C3A">
            <w:pPr>
              <w:spacing w:line="259" w:lineRule="auto"/>
              <w:jc w:val="both"/>
              <w:rPr>
                <w:rFonts w:cs="Arial"/>
              </w:rPr>
            </w:pPr>
            <w:r w:rsidRPr="00E4438C">
              <w:rPr>
                <w:rFonts w:cs="Arial"/>
              </w:rPr>
              <w:t>Knowledge and understanding of the support needs of the service user group</w:t>
            </w:r>
            <w:r w:rsidR="001A15AB">
              <w:rPr>
                <w:rFonts w:cs="Arial"/>
              </w:rPr>
              <w:t>.</w:t>
            </w:r>
          </w:p>
          <w:p w14:paraId="72220122" w14:textId="184AB0DA" w:rsidR="00E4438C" w:rsidRPr="00E4438C" w:rsidRDefault="00E4438C" w:rsidP="00902C3A">
            <w:pPr>
              <w:spacing w:line="259" w:lineRule="auto"/>
              <w:jc w:val="both"/>
              <w:rPr>
                <w:rFonts w:cs="Arial"/>
              </w:rPr>
            </w:pPr>
            <w:r w:rsidRPr="00E4438C">
              <w:t>Knowledge of the Bradford RESET programme or similar trauma-informed initiatives.</w:t>
            </w:r>
          </w:p>
        </w:tc>
      </w:tr>
      <w:tr w:rsidR="000F5C00" w:rsidRPr="00E4438C" w14:paraId="26F875D1" w14:textId="77777777" w:rsidTr="00902C3A">
        <w:trPr>
          <w:trHeight w:val="376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2B4E95" w14:textId="77777777" w:rsidR="000F5C00" w:rsidRPr="00E4438C" w:rsidRDefault="000F5C00" w:rsidP="00902C3A">
            <w:pPr>
              <w:spacing w:line="259" w:lineRule="auto"/>
              <w:ind w:left="107"/>
              <w:rPr>
                <w:rFonts w:cs="Arial"/>
              </w:rPr>
            </w:pPr>
            <w:r w:rsidRPr="00E4438C">
              <w:rPr>
                <w:rFonts w:cs="Arial"/>
                <w:b/>
              </w:rPr>
              <w:t xml:space="preserve">Knowledge and Skills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27F47" w14:textId="7339D658" w:rsidR="000F5C00" w:rsidRPr="00E4438C" w:rsidRDefault="000F5C00" w:rsidP="00902C3A">
            <w:pPr>
              <w:spacing w:line="259" w:lineRule="auto"/>
              <w:ind w:left="108"/>
              <w:rPr>
                <w:rFonts w:cs="Arial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FB286" w14:textId="77777777" w:rsidR="00E4438C" w:rsidRPr="00E4438C" w:rsidRDefault="00E4438C" w:rsidP="00E4438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E4438C">
              <w:rPr>
                <w:rFonts w:eastAsia="Times New Roman" w:cs="Times New Roman"/>
                <w:kern w:val="0"/>
                <w14:ligatures w14:val="none"/>
              </w:rPr>
              <w:t>Understanding of trauma-informed and psychologically informed approaches.</w:t>
            </w:r>
          </w:p>
          <w:p w14:paraId="27E07E25" w14:textId="77777777" w:rsidR="00E4438C" w:rsidRPr="00E4438C" w:rsidRDefault="00E4438C" w:rsidP="00E4438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E4438C">
              <w:rPr>
                <w:rFonts w:eastAsia="Times New Roman" w:cs="Times New Roman"/>
                <w:kern w:val="0"/>
                <w14:ligatures w14:val="none"/>
              </w:rPr>
              <w:t>Ability to engage and support individuals in crisis.</w:t>
            </w:r>
          </w:p>
          <w:p w14:paraId="6A542582" w14:textId="77777777" w:rsidR="00E4438C" w:rsidRPr="00E4438C" w:rsidRDefault="00E4438C" w:rsidP="00E4438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E4438C">
              <w:rPr>
                <w:rFonts w:eastAsia="Times New Roman" w:cs="Times New Roman"/>
                <w:kern w:val="0"/>
                <w14:ligatures w14:val="none"/>
              </w:rPr>
              <w:t>Knowledge of tenancy management, housing options, and benefits.</w:t>
            </w:r>
          </w:p>
          <w:p w14:paraId="392FE4C9" w14:textId="77777777" w:rsidR="00E4438C" w:rsidRPr="00E4438C" w:rsidRDefault="00E4438C" w:rsidP="00E4438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E4438C">
              <w:rPr>
                <w:rFonts w:eastAsia="Times New Roman" w:cs="Times New Roman"/>
                <w:kern w:val="0"/>
                <w14:ligatures w14:val="none"/>
              </w:rPr>
              <w:t>Experience of collaborative working with other professionals.</w:t>
            </w:r>
          </w:p>
          <w:p w14:paraId="7D68D6D2" w14:textId="77777777" w:rsidR="00E4438C" w:rsidRPr="00E4438C" w:rsidRDefault="00E4438C" w:rsidP="00E4438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E4438C">
              <w:rPr>
                <w:rFonts w:eastAsia="Times New Roman" w:cs="Times New Roman"/>
                <w:kern w:val="0"/>
                <w14:ligatures w14:val="none"/>
              </w:rPr>
              <w:t>Good IT and administrative skills.</w:t>
            </w:r>
          </w:p>
          <w:p w14:paraId="3A063465" w14:textId="77777777" w:rsidR="00E4438C" w:rsidRPr="00E4438C" w:rsidRDefault="00E4438C" w:rsidP="00E4438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E4438C">
              <w:rPr>
                <w:rFonts w:eastAsia="Times New Roman" w:cs="Times New Roman"/>
                <w:kern w:val="0"/>
                <w14:ligatures w14:val="none"/>
              </w:rPr>
              <w:t>Commitment to confidentiality, safeguarding, and safe lone working practices.</w:t>
            </w:r>
          </w:p>
          <w:p w14:paraId="1B14D525" w14:textId="77777777" w:rsidR="00E4438C" w:rsidRPr="00E4438C" w:rsidRDefault="00E4438C" w:rsidP="00E4438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E4438C">
              <w:rPr>
                <w:rFonts w:eastAsia="Times New Roman" w:cs="Times New Roman"/>
                <w:kern w:val="0"/>
                <w14:ligatures w14:val="none"/>
              </w:rPr>
              <w:t>Willingness to work flexibly and travel across Bradford.</w:t>
            </w:r>
          </w:p>
          <w:p w14:paraId="0941A6BD" w14:textId="77777777" w:rsidR="00E4438C" w:rsidRPr="00E4438C" w:rsidRDefault="00E4438C" w:rsidP="00E4438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E4438C">
              <w:rPr>
                <w:rFonts w:eastAsia="Times New Roman" w:cs="Times New Roman"/>
                <w:kern w:val="0"/>
                <w14:ligatures w14:val="none"/>
              </w:rPr>
              <w:t>Full driving licence and access to own transport.</w:t>
            </w:r>
          </w:p>
          <w:p w14:paraId="0568B58A" w14:textId="66E52021" w:rsidR="000F5C00" w:rsidRPr="00E4438C" w:rsidRDefault="000F5C00" w:rsidP="00E4438C">
            <w:pPr>
              <w:pStyle w:val="ListParagraph"/>
              <w:spacing w:line="259" w:lineRule="auto"/>
              <w:ind w:left="0"/>
              <w:rPr>
                <w:rFonts w:cs="Arial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92682" w14:textId="77777777" w:rsidR="000F5C00" w:rsidRPr="00E4438C" w:rsidRDefault="000F5C00" w:rsidP="00902C3A">
            <w:pPr>
              <w:spacing w:line="259" w:lineRule="auto"/>
              <w:ind w:left="263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7111F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  <w:r w:rsidRPr="00E4438C">
              <w:rPr>
                <w:rFonts w:cs="Arial"/>
              </w:rPr>
              <w:t xml:space="preserve">Good local knowledge of the area. </w:t>
            </w:r>
          </w:p>
        </w:tc>
      </w:tr>
      <w:tr w:rsidR="000F5C00" w:rsidRPr="00E4438C" w14:paraId="7D3EA22E" w14:textId="77777777" w:rsidTr="00902C3A">
        <w:trPr>
          <w:trHeight w:val="53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24CCA0D1" w14:textId="77777777" w:rsidR="000F5C00" w:rsidRPr="00E4438C" w:rsidRDefault="000F5C00" w:rsidP="00902C3A">
            <w:pPr>
              <w:spacing w:line="259" w:lineRule="auto"/>
              <w:ind w:left="107"/>
              <w:rPr>
                <w:rFonts w:cs="Arial"/>
              </w:rPr>
            </w:pPr>
            <w:r w:rsidRPr="00E4438C">
              <w:rPr>
                <w:rFonts w:cs="Arial"/>
                <w:b/>
              </w:rPr>
              <w:t xml:space="preserve">Other attributes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424881" w14:textId="77777777" w:rsidR="000F5C00" w:rsidRPr="00E4438C" w:rsidRDefault="000F5C00" w:rsidP="00902C3A">
            <w:pPr>
              <w:spacing w:line="259" w:lineRule="auto"/>
              <w:ind w:left="261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</w:tc>
        <w:tc>
          <w:tcPr>
            <w:tcW w:w="4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E46580" w14:textId="77777777" w:rsidR="000F5C00" w:rsidRPr="00E4438C" w:rsidRDefault="000F5C00" w:rsidP="00902C3A">
            <w:pPr>
              <w:spacing w:line="259" w:lineRule="auto"/>
              <w:jc w:val="both"/>
              <w:rPr>
                <w:rFonts w:cs="Arial"/>
              </w:rPr>
            </w:pPr>
            <w:r w:rsidRPr="00E4438C">
              <w:rPr>
                <w:rFonts w:cs="Arial"/>
              </w:rPr>
              <w:t xml:space="preserve">Willingness to work flexibly in terms of hours, including out of office hours.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16BF8E" w14:textId="77777777" w:rsidR="000F5C00" w:rsidRPr="00E4438C" w:rsidRDefault="000F5C00" w:rsidP="00902C3A">
            <w:pPr>
              <w:spacing w:line="259" w:lineRule="auto"/>
              <w:ind w:left="216"/>
              <w:jc w:val="center"/>
              <w:rPr>
                <w:rFonts w:cs="Arial"/>
              </w:rPr>
            </w:pPr>
            <w:r w:rsidRPr="00E4438C">
              <w:rPr>
                <w:rFonts w:cs="Arial"/>
              </w:rPr>
              <w:t xml:space="preserve"> </w:t>
            </w: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BFA58B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</w:tr>
      <w:tr w:rsidR="000F5C00" w:rsidRPr="00E4438C" w14:paraId="5D28FD83" w14:textId="77777777" w:rsidTr="00902C3A">
        <w:trPr>
          <w:trHeight w:val="497"/>
        </w:trPr>
        <w:tc>
          <w:tcPr>
            <w:tcW w:w="3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66E0B2FF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3FDD3E" w14:textId="77777777" w:rsidR="000F5C00" w:rsidRPr="00E4438C" w:rsidRDefault="000F5C00" w:rsidP="00902C3A">
            <w:pPr>
              <w:spacing w:line="259" w:lineRule="auto"/>
              <w:ind w:left="261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176FFD" w14:textId="77777777" w:rsidR="000F5C00" w:rsidRPr="00E4438C" w:rsidRDefault="000F5C00" w:rsidP="00902C3A">
            <w:pPr>
              <w:spacing w:line="259" w:lineRule="auto"/>
              <w:jc w:val="both"/>
              <w:rPr>
                <w:rFonts w:cs="Arial"/>
              </w:rPr>
            </w:pPr>
            <w:r w:rsidRPr="00E4438C">
              <w:rPr>
                <w:rFonts w:cs="Arial"/>
              </w:rPr>
              <w:t xml:space="preserve">A commitment to promoting diversity and equal opportunities in all aspects of your work. 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2FF5EE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FA8E11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</w:tr>
      <w:tr w:rsidR="000F5C00" w:rsidRPr="00E4438C" w14:paraId="4D49E7BA" w14:textId="77777777" w:rsidTr="00902C3A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0892748B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8DA5D3" w14:textId="77777777" w:rsidR="000F5C00" w:rsidRPr="00E4438C" w:rsidRDefault="000F5C00" w:rsidP="00902C3A">
            <w:pPr>
              <w:spacing w:line="259" w:lineRule="auto"/>
              <w:ind w:left="261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9537D0" w14:textId="77777777" w:rsidR="001A15AB" w:rsidRDefault="000F5C00" w:rsidP="00902C3A">
            <w:pPr>
              <w:spacing w:line="259" w:lineRule="auto"/>
              <w:rPr>
                <w:rFonts w:cs="Arial"/>
              </w:rPr>
            </w:pPr>
            <w:r w:rsidRPr="00E4438C">
              <w:rPr>
                <w:rFonts w:cs="Arial"/>
              </w:rPr>
              <w:t>Conforms to a standard of dress which reflects a professional service</w:t>
            </w:r>
            <w:r w:rsidR="001A15AB">
              <w:rPr>
                <w:rFonts w:cs="Arial"/>
              </w:rPr>
              <w:t>.</w:t>
            </w:r>
          </w:p>
          <w:p w14:paraId="561F8BBC" w14:textId="1B6A3C3A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  <w:r w:rsidRPr="00E4438C">
              <w:rPr>
                <w:rFonts w:cs="Arial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407D59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56ED7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</w:tr>
      <w:tr w:rsidR="000F5C00" w:rsidRPr="00E4438C" w14:paraId="1A61AC77" w14:textId="77777777" w:rsidTr="00902C3A">
        <w:trPr>
          <w:trHeight w:val="254"/>
        </w:trPr>
        <w:tc>
          <w:tcPr>
            <w:tcW w:w="3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274B9833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1A96E6" w14:textId="77777777" w:rsidR="000F5C00" w:rsidRPr="00E4438C" w:rsidRDefault="000F5C00" w:rsidP="00902C3A">
            <w:pPr>
              <w:spacing w:line="259" w:lineRule="auto"/>
              <w:ind w:left="261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1BBC24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  <w:r w:rsidRPr="00E4438C">
              <w:rPr>
                <w:rFonts w:cs="Arial"/>
              </w:rPr>
              <w:t xml:space="preserve">Committed to own professional development. 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0D689B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72A647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</w:tr>
      <w:tr w:rsidR="000F5C00" w:rsidRPr="00E4438C" w14:paraId="16454AD1" w14:textId="77777777" w:rsidTr="00902C3A">
        <w:trPr>
          <w:trHeight w:val="256"/>
        </w:trPr>
        <w:tc>
          <w:tcPr>
            <w:tcW w:w="3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30220D53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65F68E" w14:textId="77777777" w:rsidR="000F5C00" w:rsidRPr="00E4438C" w:rsidRDefault="000F5C00" w:rsidP="00902C3A">
            <w:pPr>
              <w:spacing w:line="259" w:lineRule="auto"/>
              <w:ind w:left="261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B0716A" w14:textId="588B1B7D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  <w:r w:rsidRPr="00E4438C">
              <w:rPr>
                <w:rFonts w:cs="Arial"/>
              </w:rPr>
              <w:t>Positive ideas and outlook</w:t>
            </w:r>
            <w:r w:rsidR="001A15AB">
              <w:rPr>
                <w:rFonts w:cs="Arial"/>
              </w:rPr>
              <w:t>.</w:t>
            </w:r>
            <w:r w:rsidRPr="00E4438C">
              <w:rPr>
                <w:rFonts w:cs="Arial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FBC274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5FB8E6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</w:tr>
      <w:tr w:rsidR="000F5C00" w:rsidRPr="00E4438C" w14:paraId="3E3C2AE7" w14:textId="77777777" w:rsidTr="00902C3A">
        <w:trPr>
          <w:trHeight w:val="256"/>
        </w:trPr>
        <w:tc>
          <w:tcPr>
            <w:tcW w:w="3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B53DFC1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BBF948" w14:textId="77777777" w:rsidR="000F5C00" w:rsidRPr="00E4438C" w:rsidRDefault="000F5C00" w:rsidP="00902C3A">
            <w:pPr>
              <w:spacing w:line="259" w:lineRule="auto"/>
              <w:ind w:left="261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5716E5" w14:textId="6BAA6260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  <w:r w:rsidRPr="00E4438C">
              <w:rPr>
                <w:rFonts w:cs="Arial"/>
              </w:rPr>
              <w:t>Ability to work as a member of a team</w:t>
            </w:r>
            <w:r w:rsidR="001A15AB">
              <w:rPr>
                <w:rFonts w:cs="Arial"/>
              </w:rPr>
              <w:t>.</w:t>
            </w:r>
            <w:r w:rsidRPr="00E4438C">
              <w:rPr>
                <w:rFonts w:cs="Arial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1643EF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38DB27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</w:tr>
      <w:tr w:rsidR="00E4438C" w:rsidRPr="00E4438C" w14:paraId="3DA793E0" w14:textId="77777777" w:rsidTr="000F5C00">
        <w:trPr>
          <w:trHeight w:val="232"/>
        </w:trPr>
        <w:tc>
          <w:tcPr>
            <w:tcW w:w="3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2546C18D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7C0BB3" w14:textId="77777777" w:rsidR="000F5C00" w:rsidRPr="00E4438C" w:rsidRDefault="000F5C00" w:rsidP="00902C3A">
            <w:pPr>
              <w:spacing w:line="259" w:lineRule="auto"/>
              <w:ind w:left="261"/>
              <w:jc w:val="center"/>
              <w:rPr>
                <w:rFonts w:cs="Arial"/>
              </w:rPr>
            </w:pPr>
            <w:r w:rsidRPr="00E4438C">
              <w:rPr>
                <w:rFonts w:eastAsia="Segoe UI Symbol" w:cs="Arial"/>
              </w:rPr>
              <w:t>•</w:t>
            </w:r>
            <w:r w:rsidRPr="00E4438C">
              <w:rPr>
                <w:rFonts w:eastAsia="Arial" w:cs="Arial"/>
              </w:rPr>
              <w:t xml:space="preserve"> 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9A4D2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  <w:r w:rsidRPr="00E4438C">
              <w:rPr>
                <w:rFonts w:cs="Arial"/>
              </w:rPr>
              <w:t xml:space="preserve">Can meet the mobility requirements of the post. 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95017A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668274" w14:textId="77777777" w:rsidR="000F5C00" w:rsidRPr="00E4438C" w:rsidRDefault="000F5C00" w:rsidP="00902C3A">
            <w:pPr>
              <w:spacing w:after="160" w:line="259" w:lineRule="auto"/>
              <w:rPr>
                <w:rFonts w:cs="Arial"/>
              </w:rPr>
            </w:pPr>
          </w:p>
        </w:tc>
      </w:tr>
      <w:tr w:rsidR="000F5C00" w:rsidRPr="00E4438C" w14:paraId="5432DB02" w14:textId="77777777" w:rsidTr="000F5C00">
        <w:trPr>
          <w:trHeight w:val="232"/>
        </w:trPr>
        <w:tc>
          <w:tcPr>
            <w:tcW w:w="3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298E6CD0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F13543" w14:textId="77777777" w:rsidR="000F5C00" w:rsidRPr="00E4438C" w:rsidRDefault="000F5C00" w:rsidP="00902C3A">
            <w:pPr>
              <w:spacing w:line="259" w:lineRule="auto"/>
              <w:ind w:left="261"/>
              <w:jc w:val="center"/>
              <w:rPr>
                <w:rFonts w:eastAsia="Segoe UI Symbol" w:cs="Arial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95330A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D3EF76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639C4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</w:p>
        </w:tc>
      </w:tr>
      <w:tr w:rsidR="000F5C00" w:rsidRPr="00E4438C" w14:paraId="4EDF96A6" w14:textId="77777777" w:rsidTr="00902C3A">
        <w:trPr>
          <w:trHeight w:val="232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09FC72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26654D" w14:textId="77777777" w:rsidR="000F5C00" w:rsidRPr="00E4438C" w:rsidRDefault="000F5C00" w:rsidP="00902C3A">
            <w:pPr>
              <w:spacing w:line="259" w:lineRule="auto"/>
              <w:ind w:left="261"/>
              <w:jc w:val="center"/>
              <w:rPr>
                <w:rFonts w:eastAsia="Segoe UI Symbol" w:cs="Arial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09042E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F21DF2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3A075" w14:textId="77777777" w:rsidR="000F5C00" w:rsidRPr="00E4438C" w:rsidRDefault="000F5C00" w:rsidP="00902C3A">
            <w:pPr>
              <w:spacing w:line="259" w:lineRule="auto"/>
              <w:rPr>
                <w:rFonts w:cs="Arial"/>
              </w:rPr>
            </w:pPr>
          </w:p>
        </w:tc>
      </w:tr>
    </w:tbl>
    <w:p w14:paraId="1879D442" w14:textId="77777777" w:rsidR="000F5C00" w:rsidRPr="006251DC" w:rsidRDefault="000F5C00" w:rsidP="000F5C00">
      <w:pPr>
        <w:spacing w:before="100" w:beforeAutospacing="1" w:after="248" w:afterAutospacing="1" w:line="268" w:lineRule="auto"/>
        <w:rPr>
          <w:rFonts w:cs="Arial"/>
        </w:rPr>
      </w:pPr>
    </w:p>
    <w:tbl>
      <w:tblPr>
        <w:tblStyle w:val="TableGrid"/>
        <w:tblW w:w="14641" w:type="dxa"/>
        <w:tblInd w:w="-839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1483"/>
      </w:tblGrid>
      <w:tr w:rsidR="000F5C00" w:rsidRPr="000F5C00" w14:paraId="2D831D9E" w14:textId="77777777" w:rsidTr="00902C3A">
        <w:trPr>
          <w:trHeight w:val="829"/>
        </w:trPr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A33897" w14:textId="77777777" w:rsidR="000F5C00" w:rsidRPr="000F5C00" w:rsidRDefault="000F5C00" w:rsidP="000F5C00">
            <w:pPr>
              <w:spacing w:line="259" w:lineRule="auto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b/>
                <w:color w:val="000000"/>
              </w:rPr>
              <w:t xml:space="preserve">Key Behaviours  </w:t>
            </w:r>
          </w:p>
        </w:tc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F456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b/>
                <w:color w:val="000000"/>
              </w:rPr>
              <w:t xml:space="preserve">Works Proactively </w:t>
            </w:r>
          </w:p>
          <w:p w14:paraId="0AB06E46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color w:val="000000"/>
              </w:rPr>
              <w:t xml:space="preserve">Demonstrates initiative, thinks ahead, and takes prompt action to solve problems; completes tasks, overcomes obstacles and seize opportunities. </w:t>
            </w:r>
          </w:p>
        </w:tc>
      </w:tr>
      <w:tr w:rsidR="000F5C00" w:rsidRPr="000F5C00" w14:paraId="68261859" w14:textId="77777777" w:rsidTr="00902C3A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3F3FE" w14:textId="77777777" w:rsidR="000F5C00" w:rsidRPr="000F5C00" w:rsidRDefault="000F5C00" w:rsidP="000F5C00">
            <w:pPr>
              <w:spacing w:line="259" w:lineRule="auto"/>
              <w:rPr>
                <w:rFonts w:eastAsia="Calibri" w:cs="Arial"/>
                <w:color w:val="000000"/>
              </w:rPr>
            </w:pPr>
          </w:p>
        </w:tc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1697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b/>
                <w:color w:val="000000"/>
              </w:rPr>
              <w:t xml:space="preserve">Leads Change &amp; Improves Performance </w:t>
            </w:r>
          </w:p>
          <w:p w14:paraId="086364FE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color w:val="000000"/>
              </w:rPr>
              <w:t xml:space="preserve">Responds quickly and positively to change, seeking to continuously improve performance by learning quickly from our mistakes, celebrating our successes, and constantly developing our people and processes. </w:t>
            </w:r>
          </w:p>
        </w:tc>
      </w:tr>
      <w:tr w:rsidR="000F5C00" w:rsidRPr="000F5C00" w14:paraId="0802AD67" w14:textId="77777777" w:rsidTr="00902C3A">
        <w:trPr>
          <w:trHeight w:val="8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0F164" w14:textId="77777777" w:rsidR="000F5C00" w:rsidRPr="000F5C00" w:rsidRDefault="000F5C00" w:rsidP="000F5C00">
            <w:pPr>
              <w:spacing w:line="259" w:lineRule="auto"/>
              <w:rPr>
                <w:rFonts w:eastAsia="Calibri" w:cs="Arial"/>
                <w:color w:val="000000"/>
              </w:rPr>
            </w:pPr>
          </w:p>
        </w:tc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41C0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b/>
                <w:color w:val="000000"/>
              </w:rPr>
              <w:t xml:space="preserve">Demonstrates Creativity &amp; Innovation </w:t>
            </w:r>
          </w:p>
          <w:p w14:paraId="4F1C33F9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color w:val="000000"/>
              </w:rPr>
              <w:t xml:space="preserve">Applies creative and lateral thinking to organisational issues; challenges the status quo and introduces new ideas, methods and processes. </w:t>
            </w:r>
          </w:p>
        </w:tc>
      </w:tr>
      <w:tr w:rsidR="000F5C00" w:rsidRPr="000F5C00" w14:paraId="56B0E28E" w14:textId="77777777" w:rsidTr="00902C3A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30901" w14:textId="77777777" w:rsidR="000F5C00" w:rsidRPr="000F5C00" w:rsidRDefault="000F5C00" w:rsidP="000F5C00">
            <w:pPr>
              <w:spacing w:line="259" w:lineRule="auto"/>
              <w:rPr>
                <w:rFonts w:eastAsia="Calibri" w:cs="Arial"/>
                <w:color w:val="000000"/>
              </w:rPr>
            </w:pPr>
          </w:p>
        </w:tc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5B3A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b/>
                <w:color w:val="000000"/>
              </w:rPr>
              <w:t xml:space="preserve">Client &amp; Customer Focused  </w:t>
            </w:r>
          </w:p>
          <w:p w14:paraId="1EE1C78B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color w:val="000000"/>
              </w:rPr>
              <w:t xml:space="preserve">Focuses on and understand the needs of internal and external service users, members and other stakeholders and strives to deliver a prompt, effective and personalised service. (For ‘service users’, please also read members, stakeholders, and audiences). </w:t>
            </w:r>
          </w:p>
        </w:tc>
      </w:tr>
      <w:tr w:rsidR="000F5C00" w:rsidRPr="000F5C00" w14:paraId="21E1B7BC" w14:textId="77777777" w:rsidTr="00902C3A">
        <w:trPr>
          <w:trHeight w:val="8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0513A" w14:textId="77777777" w:rsidR="000F5C00" w:rsidRPr="000F5C00" w:rsidRDefault="000F5C00" w:rsidP="000F5C00">
            <w:pPr>
              <w:spacing w:line="259" w:lineRule="auto"/>
              <w:rPr>
                <w:rFonts w:eastAsia="Calibri" w:cs="Arial"/>
                <w:color w:val="000000"/>
              </w:rPr>
            </w:pPr>
          </w:p>
        </w:tc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10A3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b/>
                <w:color w:val="000000"/>
              </w:rPr>
              <w:t xml:space="preserve">Influences Others &amp; Communicates Effectively </w:t>
            </w:r>
          </w:p>
          <w:p w14:paraId="69B00CA3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color w:val="000000"/>
              </w:rPr>
              <w:t xml:space="preserve">Positively influences others and where appropriate persuades them to change their views, intentions or actions.  Listens closely and communicates clearly both verbally and in writing. </w:t>
            </w:r>
          </w:p>
        </w:tc>
      </w:tr>
      <w:tr w:rsidR="000F5C00" w:rsidRPr="000F5C00" w14:paraId="705020D7" w14:textId="77777777" w:rsidTr="00902C3A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27E10" w14:textId="77777777" w:rsidR="000F5C00" w:rsidRPr="000F5C00" w:rsidRDefault="000F5C00" w:rsidP="000F5C00">
            <w:pPr>
              <w:spacing w:line="259" w:lineRule="auto"/>
              <w:rPr>
                <w:rFonts w:eastAsia="Calibri" w:cs="Arial"/>
                <w:color w:val="000000"/>
              </w:rPr>
            </w:pPr>
          </w:p>
        </w:tc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12B0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b/>
                <w:color w:val="000000"/>
              </w:rPr>
              <w:t xml:space="preserve">Applies &amp; Shares Expert Knowledge </w:t>
            </w:r>
          </w:p>
          <w:p w14:paraId="61C8D2E9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color w:val="000000"/>
              </w:rPr>
              <w:t xml:space="preserve">Demonstrates the specialist knowledge and technical requirements of the job. Applies skills and experience to perform the job effectively, completes work to a high standard and shares knowledge across the organisation. </w:t>
            </w:r>
          </w:p>
        </w:tc>
      </w:tr>
      <w:tr w:rsidR="000F5C00" w:rsidRPr="000F5C00" w14:paraId="7B388D39" w14:textId="77777777" w:rsidTr="00902C3A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8BD09" w14:textId="77777777" w:rsidR="000F5C00" w:rsidRPr="000F5C00" w:rsidRDefault="000F5C00" w:rsidP="000F5C00">
            <w:pPr>
              <w:spacing w:line="259" w:lineRule="auto"/>
              <w:rPr>
                <w:rFonts w:eastAsia="Calibri" w:cs="Arial"/>
                <w:color w:val="000000"/>
              </w:rPr>
            </w:pPr>
          </w:p>
        </w:tc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CF85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b/>
                <w:color w:val="000000"/>
              </w:rPr>
              <w:t xml:space="preserve">Works Collaboratively with Others </w:t>
            </w:r>
          </w:p>
          <w:p w14:paraId="7B4E0591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color w:val="000000"/>
              </w:rPr>
              <w:t xml:space="preserve">Works collaboratively with others for the good of the business; builds a network of good relationships and develops a thorough understanding of the organisation and the wider sector. </w:t>
            </w:r>
          </w:p>
        </w:tc>
      </w:tr>
      <w:tr w:rsidR="000F5C00" w:rsidRPr="000F5C00" w14:paraId="6747E71F" w14:textId="77777777" w:rsidTr="00902C3A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C628" w14:textId="77777777" w:rsidR="000F5C00" w:rsidRPr="000F5C00" w:rsidRDefault="000F5C00" w:rsidP="000F5C00">
            <w:pPr>
              <w:spacing w:line="259" w:lineRule="auto"/>
              <w:rPr>
                <w:rFonts w:eastAsia="Calibri" w:cs="Arial"/>
                <w:color w:val="000000"/>
              </w:rPr>
            </w:pPr>
          </w:p>
        </w:tc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CF83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b/>
                <w:color w:val="000000"/>
              </w:rPr>
              <w:t xml:space="preserve">Values &amp; Respects Others </w:t>
            </w:r>
          </w:p>
          <w:p w14:paraId="6BA9AC67" w14:textId="77777777" w:rsidR="000F5C00" w:rsidRPr="000F5C00" w:rsidRDefault="000F5C00" w:rsidP="000F5C00">
            <w:pPr>
              <w:spacing w:line="259" w:lineRule="auto"/>
              <w:ind w:left="1"/>
              <w:rPr>
                <w:rFonts w:eastAsia="Calibri" w:cs="Arial"/>
                <w:color w:val="000000"/>
              </w:rPr>
            </w:pPr>
            <w:r w:rsidRPr="000F5C00">
              <w:rPr>
                <w:rFonts w:eastAsia="Calibri" w:cs="Arial"/>
                <w:color w:val="000000"/>
              </w:rPr>
              <w:t xml:space="preserve">Respects other individuals; listens and takes into account different opinions, feelings and motivations; is trustworthy and acts with integrity; responds and acts constructively towards others. </w:t>
            </w:r>
          </w:p>
        </w:tc>
      </w:tr>
    </w:tbl>
    <w:p w14:paraId="119ED0F1" w14:textId="623B3076" w:rsidR="00477CD2" w:rsidRPr="00477CD2" w:rsidRDefault="00477CD2" w:rsidP="000F5C00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sectPr w:rsidR="00477CD2" w:rsidRPr="00477CD2" w:rsidSect="000F5C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A6A"/>
    <w:multiLevelType w:val="hybridMultilevel"/>
    <w:tmpl w:val="71B835E2"/>
    <w:lvl w:ilvl="0" w:tplc="6E787056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AABD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E235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F8A4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80759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CCD9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A60F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B2C2F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4156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E72C42"/>
    <w:multiLevelType w:val="hybridMultilevel"/>
    <w:tmpl w:val="B9EE8420"/>
    <w:lvl w:ilvl="0" w:tplc="A2C8683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D6A25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8A26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68413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C42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7EB90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9A2B7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DABB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E0F9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187DB9"/>
    <w:multiLevelType w:val="hybridMultilevel"/>
    <w:tmpl w:val="FA7AC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7910F6"/>
    <w:multiLevelType w:val="multilevel"/>
    <w:tmpl w:val="DF2E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80F5D"/>
    <w:multiLevelType w:val="multilevel"/>
    <w:tmpl w:val="3EFA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404A4"/>
    <w:multiLevelType w:val="multilevel"/>
    <w:tmpl w:val="74A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8583F"/>
    <w:multiLevelType w:val="hybridMultilevel"/>
    <w:tmpl w:val="4D565B42"/>
    <w:lvl w:ilvl="0" w:tplc="A2C8683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num w:numId="1" w16cid:durableId="1415930034">
    <w:abstractNumId w:val="3"/>
  </w:num>
  <w:num w:numId="2" w16cid:durableId="862979560">
    <w:abstractNumId w:val="5"/>
  </w:num>
  <w:num w:numId="3" w16cid:durableId="673413753">
    <w:abstractNumId w:val="4"/>
  </w:num>
  <w:num w:numId="4" w16cid:durableId="1675497987">
    <w:abstractNumId w:val="1"/>
  </w:num>
  <w:num w:numId="5" w16cid:durableId="504436645">
    <w:abstractNumId w:val="0"/>
  </w:num>
  <w:num w:numId="6" w16cid:durableId="1665549109">
    <w:abstractNumId w:val="6"/>
  </w:num>
  <w:num w:numId="7" w16cid:durableId="98443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D2"/>
    <w:rsid w:val="000F5C00"/>
    <w:rsid w:val="001A15AB"/>
    <w:rsid w:val="003D507C"/>
    <w:rsid w:val="004129FE"/>
    <w:rsid w:val="00477CD2"/>
    <w:rsid w:val="004A792C"/>
    <w:rsid w:val="00537328"/>
    <w:rsid w:val="005703FE"/>
    <w:rsid w:val="006251DC"/>
    <w:rsid w:val="007C5731"/>
    <w:rsid w:val="008031C5"/>
    <w:rsid w:val="008221AA"/>
    <w:rsid w:val="00842F14"/>
    <w:rsid w:val="008F7935"/>
    <w:rsid w:val="00902033"/>
    <w:rsid w:val="009F519D"/>
    <w:rsid w:val="00A24613"/>
    <w:rsid w:val="00BD4CDD"/>
    <w:rsid w:val="00BF2CC8"/>
    <w:rsid w:val="00E4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0434"/>
  <w15:chartTrackingRefBased/>
  <w15:docId w15:val="{C1D870A9-ECD4-4870-A182-D9BEB09F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CD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F5C00"/>
    <w:pPr>
      <w:spacing w:after="0" w:line="240" w:lineRule="auto"/>
    </w:pPr>
    <w:rPr>
      <w:rFonts w:eastAsiaTheme="minorEastAsia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8221AA"/>
    <w:pPr>
      <w:spacing w:after="0" w:line="240" w:lineRule="auto"/>
    </w:pPr>
    <w:rPr>
      <w:rFonts w:ascii="Arial" w:eastAsia="Times New Roman" w:hAnsi="Arial" w:cs="Times New Roman"/>
      <w:b/>
      <w:b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8221AA"/>
    <w:rPr>
      <w:rFonts w:ascii="Arial" w:eastAsia="Times New Roman" w:hAnsi="Arial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Hogan</dc:creator>
  <cp:keywords/>
  <dc:description/>
  <cp:lastModifiedBy>Maxine Woods</cp:lastModifiedBy>
  <cp:revision>6</cp:revision>
  <dcterms:created xsi:type="dcterms:W3CDTF">2025-04-06T08:46:00Z</dcterms:created>
  <dcterms:modified xsi:type="dcterms:W3CDTF">2025-04-06T09:34:00Z</dcterms:modified>
</cp:coreProperties>
</file>